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205D1" w:rsidRPr="00345016" w:rsidRDefault="00F205D1" w:rsidP="00455EC7">
      <w:pPr>
        <w:bidi w:val="0"/>
        <w:spacing w:after="240"/>
        <w:jc w:val="center"/>
        <w:rPr>
          <w:rFonts w:asciiTheme="majorBidi" w:hAnsiTheme="majorBidi" w:cstheme="majorBidi"/>
          <w:sz w:val="24"/>
        </w:rPr>
      </w:pPr>
      <w:bookmarkStart w:id="0" w:name="_GoBack"/>
      <w:bookmarkEnd w:id="0"/>
      <w:r w:rsidRPr="00345016">
        <w:rPr>
          <w:rFonts w:asciiTheme="majorBidi" w:hAnsiTheme="majorBidi" w:cstheme="majorBidi"/>
          <w:b/>
          <w:bCs/>
          <w:sz w:val="24"/>
          <w:u w:val="single"/>
        </w:rPr>
        <w:t>Central tender no. 6-2018 for the procurement, supply, and installation of passive communications equipment (hereinafter: "the Tender")</w:t>
      </w:r>
    </w:p>
    <w:p w:rsidR="00F205D1" w:rsidRPr="00345016" w:rsidRDefault="00F205D1"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rPr>
        <w:t xml:space="preserve">The Government Procurements Administration at the Accountant General's Department, Ministry of Finance (hereinafter: the </w:t>
      </w:r>
      <w:r w:rsidRPr="00345016">
        <w:rPr>
          <w:rFonts w:asciiTheme="majorBidi" w:hAnsiTheme="majorBidi" w:cstheme="majorBidi"/>
          <w:b/>
          <w:bCs/>
          <w:sz w:val="24"/>
        </w:rPr>
        <w:t>"Tender Writer</w:t>
      </w:r>
      <w:r w:rsidRPr="00345016">
        <w:rPr>
          <w:rFonts w:asciiTheme="majorBidi" w:hAnsiTheme="majorBidi" w:cstheme="majorBidi"/>
          <w:sz w:val="24"/>
        </w:rPr>
        <w:t>") is issuing a tender for the procurement, supply, and installation of passive communications equipment</w:t>
      </w:r>
      <w:r w:rsidR="008B68FA" w:rsidRPr="00345016">
        <w:rPr>
          <w:rFonts w:asciiTheme="majorBidi" w:hAnsiTheme="majorBidi" w:cstheme="majorBidi"/>
          <w:sz w:val="24"/>
        </w:rPr>
        <w:t xml:space="preserve"> and the performance of passive infrastructure work for government ministries and related bodies nationwide.</w:t>
      </w:r>
    </w:p>
    <w:p w:rsidR="008B68FA" w:rsidRPr="00345016" w:rsidRDefault="00F54980"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rPr>
        <w:t xml:space="preserve">The Tender shall choose two winning suppliers, each of which shall supply all the equipment and services requested for a cluster of ministries, in accordance with the cluster of ministries mentioned in the Tender Documents. In addition to the two winning suppliers, a third winning supplier shall be chosen to compete in large-scale projects. The Tender Writer shall also have the right to announce a secondary winner or another </w:t>
      </w:r>
      <w:r w:rsidR="00281ABD" w:rsidRPr="00345016">
        <w:rPr>
          <w:rFonts w:asciiTheme="majorBidi" w:hAnsiTheme="majorBidi" w:cstheme="majorBidi"/>
          <w:sz w:val="24"/>
        </w:rPr>
        <w:t>Bidder</w:t>
      </w:r>
      <w:r w:rsidRPr="00345016">
        <w:rPr>
          <w:rFonts w:asciiTheme="majorBidi" w:hAnsiTheme="majorBidi" w:cstheme="majorBidi"/>
          <w:sz w:val="24"/>
        </w:rPr>
        <w:t xml:space="preserve"> as a second qualified </w:t>
      </w:r>
      <w:r w:rsidR="00281ABD" w:rsidRPr="00345016">
        <w:rPr>
          <w:rFonts w:asciiTheme="majorBidi" w:hAnsiTheme="majorBidi" w:cstheme="majorBidi"/>
          <w:sz w:val="24"/>
        </w:rPr>
        <w:t>Bidder</w:t>
      </w:r>
      <w:r w:rsidRPr="00345016">
        <w:rPr>
          <w:rFonts w:asciiTheme="majorBidi" w:hAnsiTheme="majorBidi" w:cstheme="majorBidi"/>
          <w:sz w:val="24"/>
        </w:rPr>
        <w:t>, everything pursuant to the winning mechanism mentioned in the Tender Documents.</w:t>
      </w:r>
    </w:p>
    <w:p w:rsidR="00F54980" w:rsidRPr="00345016" w:rsidRDefault="00F54980"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rPr>
        <w:t>Hereinbelow are the main services requested under the tender: detailed planning of the passive infrastructure equipment at the Client's site,  assistance in pre-order planning characterization, supply of the passive equipment to the clients, installation and integration of all the passive equipment systems required for each project, provision of full documentation for every installation pursuant to the required standard, installation of the different communications systems, provision of RMA services for all the passive equipment, performance of the infrastructure installation work and construction necessary for the installation of the passive equipment, provision of maintenance services for the various systems installed at the demand of the ministries, performance of additions and changes to the installation of the equipment (without supplying the items of equipment themselves).</w:t>
      </w:r>
    </w:p>
    <w:p w:rsidR="00F54980" w:rsidRPr="00345016" w:rsidRDefault="00F54980"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rPr>
        <w:t xml:space="preserve">The Tender shall be held in two stages, as mentioned in the Tender Documents. </w:t>
      </w:r>
    </w:p>
    <w:p w:rsidR="00F54980" w:rsidRPr="00345016" w:rsidRDefault="003C7069"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rPr>
        <w:t xml:space="preserve">The procurement period is 36 months from the date that the Tender Writer signs the agreement is with the winning </w:t>
      </w:r>
      <w:r w:rsidR="00281ABD" w:rsidRPr="00345016">
        <w:rPr>
          <w:rFonts w:asciiTheme="majorBidi" w:hAnsiTheme="majorBidi" w:cstheme="majorBidi"/>
          <w:sz w:val="24"/>
        </w:rPr>
        <w:t>Bidder</w:t>
      </w:r>
      <w:r w:rsidRPr="00345016">
        <w:rPr>
          <w:rFonts w:asciiTheme="majorBidi" w:hAnsiTheme="majorBidi" w:cstheme="majorBidi"/>
          <w:sz w:val="24"/>
        </w:rPr>
        <w:t>. The Tender Writer reserves the option to extend this period by additional periods that shall not exceed an additional 36 months, at the same terms.</w:t>
      </w:r>
    </w:p>
    <w:p w:rsidR="003C7069" w:rsidRPr="00345016" w:rsidRDefault="00022867"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rPr>
        <w:t>The service period for the provision of the warranty and maintenance services for the equipment that is the subject of the Tender is six years from the day the equipment is installed at the ministry that ordered it, even if the procurement period has expired.</w:t>
      </w:r>
    </w:p>
    <w:p w:rsidR="00022867" w:rsidRPr="00345016" w:rsidRDefault="00022867"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rPr>
        <w:t>The Tender Writer is not</w:t>
      </w:r>
      <w:r w:rsidR="0081525B" w:rsidRPr="00345016">
        <w:rPr>
          <w:rFonts w:asciiTheme="majorBidi" w:hAnsiTheme="majorBidi" w:cstheme="majorBidi"/>
          <w:sz w:val="24"/>
        </w:rPr>
        <w:t xml:space="preserve"> obliged to chose any bid; it  shall have the right to cancel the Tender in whole or in part, or to postpone it for budgetary, organizational, or any other reason at its sole discretion.</w:t>
      </w:r>
    </w:p>
    <w:p w:rsidR="0081525B" w:rsidRPr="00345016" w:rsidRDefault="0081525B" w:rsidP="00455EC7">
      <w:pPr>
        <w:pStyle w:val="a7"/>
        <w:numPr>
          <w:ilvl w:val="0"/>
          <w:numId w:val="8"/>
        </w:numPr>
        <w:bidi w:val="0"/>
        <w:spacing w:after="240"/>
        <w:rPr>
          <w:rFonts w:asciiTheme="majorBidi" w:hAnsiTheme="majorBidi" w:cstheme="majorBidi"/>
          <w:sz w:val="24"/>
        </w:rPr>
      </w:pPr>
      <w:r w:rsidRPr="00345016">
        <w:rPr>
          <w:rFonts w:asciiTheme="majorBidi" w:hAnsiTheme="majorBidi" w:cstheme="majorBidi"/>
          <w:sz w:val="24"/>
          <w:u w:val="single"/>
        </w:rPr>
        <w:t>Preconditions for participating in the Tender (threshold conditions)</w:t>
      </w:r>
      <w:r w:rsidRPr="00345016">
        <w:rPr>
          <w:rFonts w:asciiTheme="majorBidi" w:hAnsiTheme="majorBidi" w:cstheme="majorBidi"/>
          <w:sz w:val="24"/>
        </w:rPr>
        <w:t>:</w:t>
      </w:r>
    </w:p>
    <w:p w:rsidR="0081525B" w:rsidRPr="00345016" w:rsidRDefault="00281ABD"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The Bidder is a lawfully registered company in Israel. It is made clear that if the Bidder is a partnership, the partnership shall be lawfully registered.</w:t>
      </w:r>
    </w:p>
    <w:p w:rsidR="00281ABD" w:rsidRPr="00345016" w:rsidRDefault="00281ABD"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The Bidder complies with the provisions of the Public Entities Transactions Law, 5736-1976 (hereinafter: the "Public Entities Transactions Law"). To prove that it meets these requirements, the Bidder shall submit all the authorizations required by law.</w:t>
      </w:r>
    </w:p>
    <w:p w:rsidR="00281ABD" w:rsidRPr="00345016" w:rsidRDefault="00281ABD"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The Bidder has a special license</w:t>
      </w:r>
      <w:r w:rsidR="00BC01C7" w:rsidRPr="00345016">
        <w:rPr>
          <w:rFonts w:asciiTheme="majorBidi" w:hAnsiTheme="majorBidi" w:cstheme="majorBidi"/>
          <w:sz w:val="24"/>
        </w:rPr>
        <w:t xml:space="preserve"> to perform telecommunication work and provide telecommunications-network end point services pursuant to the requirements of the Communications Law (Telecommunications and Broadcasting), 5742-1982.</w:t>
      </w:r>
    </w:p>
    <w:p w:rsidR="00BC01C7" w:rsidRPr="00345016" w:rsidRDefault="00BC01C7"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 xml:space="preserve">The Bidder does not hold and is not held by another bidder in the Tender (holding for this purpose – a direct or indirect holding of 25% of more of the means of control, as this is defined in the Securities Law, 5728-1968), and the other party does not hold25% of more of in the two bidders. Furthermore, the Bidder is not a subcontractor of another bidder in the Tender with respect to the performance of the services in this Tender (however, after </w:t>
      </w:r>
      <w:r w:rsidRPr="00345016">
        <w:rPr>
          <w:rFonts w:asciiTheme="majorBidi" w:hAnsiTheme="majorBidi" w:cstheme="majorBidi"/>
          <w:sz w:val="24"/>
        </w:rPr>
        <w:lastRenderedPageBreak/>
        <w:t>winning, the winning Bidder may contract with a bidder that did not win for the purpose of subcontracting services).</w:t>
      </w:r>
    </w:p>
    <w:p w:rsidR="00BC01C7" w:rsidRPr="00345016" w:rsidRDefault="00B350DC"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 xml:space="preserve">The Bidder's representatives attended the bidders conference, pursuant to what is mentioned in Section 11 hereinbelow of the Tender Documents. </w:t>
      </w:r>
    </w:p>
    <w:p w:rsidR="00B350DC" w:rsidRPr="00345016" w:rsidRDefault="00B350DC"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 xml:space="preserve">The Bidder has been continuously engaged in the provision of supply and installation services of passive communications services since 1 January 2015 or earlier. </w:t>
      </w:r>
    </w:p>
    <w:p w:rsidR="00B350DC" w:rsidRPr="00345016" w:rsidRDefault="00B350DC"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In the period that began on 1 June 2015, the Bidder has undertaken at least ten projects in Israel to supply and install passive communications services for data communications networks of a scope of at least 1,000 points per project (to prove that this condition has been met, attach the names and particulars of the customers).</w:t>
      </w:r>
    </w:p>
    <w:p w:rsidR="007706FD" w:rsidRPr="00345016" w:rsidRDefault="00B350DC"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 xml:space="preserve"> In the period that began on 1 June 2015, the Bidder has undertaken at least five projects in Israel to supply and install passive communications services for communications rooms on a scope of at least ten communications bases per project</w:t>
      </w:r>
      <w:r w:rsidR="007706FD" w:rsidRPr="00345016">
        <w:rPr>
          <w:rFonts w:asciiTheme="majorBidi" w:hAnsiTheme="majorBidi" w:cstheme="majorBidi"/>
          <w:sz w:val="24"/>
        </w:rPr>
        <w:t xml:space="preserve"> (to prove that this condition has been met, attach the names and particulars of the customers).</w:t>
      </w:r>
    </w:p>
    <w:p w:rsidR="00B350DC" w:rsidRPr="00345016" w:rsidRDefault="00B350DC"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 xml:space="preserve"> </w:t>
      </w:r>
      <w:r w:rsidR="007706FD" w:rsidRPr="00345016">
        <w:rPr>
          <w:rFonts w:asciiTheme="majorBidi" w:hAnsiTheme="majorBidi" w:cstheme="majorBidi"/>
          <w:sz w:val="24"/>
        </w:rPr>
        <w:t>In the period that began on 1 June 2015, the Bidder has undertaken at least three projects in Israel to supply and install passive communications services for server rooms on a scope of at least thirty bases per project (to prove that this condition has been met, attach the names and particulars of the customers).</w:t>
      </w:r>
    </w:p>
    <w:p w:rsidR="007706FD" w:rsidRPr="00345016" w:rsidRDefault="007706FD" w:rsidP="00455EC7">
      <w:pPr>
        <w:pStyle w:val="a7"/>
        <w:numPr>
          <w:ilvl w:val="1"/>
          <w:numId w:val="8"/>
        </w:numPr>
        <w:bidi w:val="0"/>
        <w:spacing w:after="240"/>
        <w:ind w:left="1440" w:hanging="1080"/>
        <w:rPr>
          <w:rFonts w:asciiTheme="majorBidi" w:hAnsiTheme="majorBidi" w:cstheme="majorBidi"/>
          <w:sz w:val="24"/>
        </w:rPr>
      </w:pPr>
      <w:r w:rsidRPr="00345016">
        <w:rPr>
          <w:rFonts w:asciiTheme="majorBidi" w:hAnsiTheme="majorBidi" w:cstheme="majorBidi"/>
          <w:sz w:val="24"/>
        </w:rPr>
        <w:t>It is made clear that there is no impediment to use one project to prove meeting two or more of the experience conditions mentioned in Sections 8.7 through 8.9 hereinabove, if possible.</w:t>
      </w:r>
    </w:p>
    <w:p w:rsidR="007706FD" w:rsidRPr="00345016" w:rsidRDefault="00FC6687" w:rsidP="00455EC7">
      <w:pPr>
        <w:pStyle w:val="a7"/>
        <w:numPr>
          <w:ilvl w:val="1"/>
          <w:numId w:val="8"/>
        </w:numPr>
        <w:bidi w:val="0"/>
        <w:spacing w:after="240"/>
        <w:ind w:left="1440" w:hanging="1080"/>
        <w:rPr>
          <w:rFonts w:asciiTheme="majorBidi" w:hAnsiTheme="majorBidi" w:cstheme="majorBidi"/>
          <w:sz w:val="24"/>
        </w:rPr>
      </w:pPr>
      <w:r w:rsidRPr="00345016">
        <w:rPr>
          <w:rFonts w:asciiTheme="majorBidi" w:hAnsiTheme="majorBidi" w:cstheme="majorBidi"/>
          <w:sz w:val="24"/>
        </w:rPr>
        <w:t xml:space="preserve">The Bidder engages in full-time positions at least five service technicians with certification from one of the manufacturers for which they shall provide a manufacturer's declaration. To prove compliance with this condition, the Bidder shall submit with its bid a list of names that includes the I.D. of the technicians it engages and the certification of each technician from each manufacturer. </w:t>
      </w:r>
    </w:p>
    <w:p w:rsidR="00FC6687" w:rsidRPr="00345016" w:rsidRDefault="00FC6687" w:rsidP="00455EC7">
      <w:pPr>
        <w:pStyle w:val="a7"/>
        <w:numPr>
          <w:ilvl w:val="1"/>
          <w:numId w:val="8"/>
        </w:numPr>
        <w:bidi w:val="0"/>
        <w:spacing w:after="240"/>
        <w:ind w:left="1440" w:hanging="1080"/>
        <w:rPr>
          <w:rFonts w:asciiTheme="majorBidi" w:hAnsiTheme="majorBidi" w:cstheme="majorBidi"/>
          <w:sz w:val="24"/>
        </w:rPr>
      </w:pPr>
      <w:r w:rsidRPr="00345016">
        <w:rPr>
          <w:rFonts w:asciiTheme="majorBidi" w:hAnsiTheme="majorBidi" w:cstheme="majorBidi"/>
          <w:sz w:val="24"/>
        </w:rPr>
        <w:t>In 2015-2017, the Bidder performed in Israel passive communications infrastructure projects on a cumulative scope of at last NIS 40 million.</w:t>
      </w:r>
    </w:p>
    <w:p w:rsidR="00222BA5" w:rsidRPr="00345016" w:rsidRDefault="00FC6687" w:rsidP="00455EC7">
      <w:pPr>
        <w:pStyle w:val="a7"/>
        <w:numPr>
          <w:ilvl w:val="1"/>
          <w:numId w:val="8"/>
        </w:numPr>
        <w:bidi w:val="0"/>
        <w:spacing w:after="240"/>
        <w:ind w:left="1440" w:hanging="1080"/>
        <w:rPr>
          <w:rFonts w:asciiTheme="majorBidi" w:hAnsiTheme="majorBidi" w:cstheme="majorBidi"/>
          <w:sz w:val="24"/>
        </w:rPr>
      </w:pPr>
      <w:r w:rsidRPr="00345016">
        <w:rPr>
          <w:rFonts w:asciiTheme="majorBidi" w:hAnsiTheme="majorBidi" w:cstheme="majorBidi"/>
          <w:sz w:val="24"/>
        </w:rPr>
        <w:t>The Bidder has three customers in Israel</w:t>
      </w:r>
      <w:r w:rsidR="00222BA5" w:rsidRPr="00345016">
        <w:rPr>
          <w:rFonts w:asciiTheme="majorBidi" w:hAnsiTheme="majorBidi" w:cstheme="majorBidi"/>
          <w:sz w:val="24"/>
        </w:rPr>
        <w:t>, each of which, in 2015-2017, purchased from it passive systems and services on a cumulative scope of at last NIS 3 million.</w:t>
      </w:r>
    </w:p>
    <w:p w:rsidR="00FC6687" w:rsidRPr="00345016" w:rsidRDefault="001B39BA" w:rsidP="00455EC7">
      <w:pPr>
        <w:pStyle w:val="a7"/>
        <w:numPr>
          <w:ilvl w:val="1"/>
          <w:numId w:val="8"/>
        </w:numPr>
        <w:bidi w:val="0"/>
        <w:spacing w:after="240"/>
        <w:ind w:left="1440" w:hanging="1080"/>
        <w:rPr>
          <w:rFonts w:asciiTheme="majorBidi" w:hAnsiTheme="majorBidi" w:cstheme="majorBidi"/>
          <w:sz w:val="24"/>
        </w:rPr>
      </w:pPr>
      <w:r w:rsidRPr="00345016">
        <w:rPr>
          <w:rFonts w:asciiTheme="majorBidi" w:hAnsiTheme="majorBidi" w:cstheme="majorBidi"/>
          <w:sz w:val="24"/>
        </w:rPr>
        <w:t xml:space="preserve">For the purpose of providing the services, the Bidder may engage a subcontractor that meets the following conditions: </w:t>
      </w:r>
    </w:p>
    <w:p w:rsidR="001B39BA" w:rsidRPr="00345016" w:rsidRDefault="00702960" w:rsidP="00455EC7">
      <w:pPr>
        <w:pStyle w:val="a7"/>
        <w:numPr>
          <w:ilvl w:val="2"/>
          <w:numId w:val="8"/>
        </w:numPr>
        <w:bidi w:val="0"/>
        <w:spacing w:after="240"/>
        <w:ind w:left="1440" w:hanging="720"/>
        <w:rPr>
          <w:rFonts w:asciiTheme="majorBidi" w:hAnsiTheme="majorBidi" w:cstheme="majorBidi"/>
          <w:sz w:val="24"/>
        </w:rPr>
      </w:pPr>
      <w:r w:rsidRPr="00345016">
        <w:rPr>
          <w:rFonts w:asciiTheme="majorBidi" w:hAnsiTheme="majorBidi" w:cstheme="majorBidi"/>
          <w:sz w:val="24"/>
        </w:rPr>
        <w:t>The subcontractor has at least two years experience, prior to the date the bids were submitted (or before the start of the work, if the contractor joins after the winner is decided), in the installation of passive communications and data communications infrastructures.</w:t>
      </w:r>
    </w:p>
    <w:p w:rsidR="00702960" w:rsidRPr="00345016" w:rsidRDefault="00345016" w:rsidP="00455EC7">
      <w:pPr>
        <w:pStyle w:val="a7"/>
        <w:numPr>
          <w:ilvl w:val="2"/>
          <w:numId w:val="8"/>
        </w:numPr>
        <w:bidi w:val="0"/>
        <w:spacing w:after="240"/>
        <w:ind w:left="1440" w:hanging="720"/>
        <w:rPr>
          <w:rFonts w:asciiTheme="majorBidi" w:hAnsiTheme="majorBidi" w:cstheme="majorBidi"/>
          <w:sz w:val="24"/>
        </w:rPr>
      </w:pPr>
      <w:r w:rsidRPr="00345016">
        <w:rPr>
          <w:rFonts w:asciiTheme="majorBidi" w:hAnsiTheme="majorBidi" w:cstheme="majorBidi"/>
          <w:sz w:val="24"/>
        </w:rPr>
        <w:t>All the installers and technicians that the subcontractor engages have at least six months experience in the fields relevant to the kind of services that it shall provide under the Tender.</w:t>
      </w:r>
    </w:p>
    <w:p w:rsidR="00345016" w:rsidRPr="00345016" w:rsidRDefault="00345016" w:rsidP="00455EC7">
      <w:pPr>
        <w:pStyle w:val="a7"/>
        <w:numPr>
          <w:ilvl w:val="2"/>
          <w:numId w:val="8"/>
        </w:numPr>
        <w:bidi w:val="0"/>
        <w:spacing w:after="240"/>
        <w:ind w:left="1440" w:hanging="720"/>
        <w:rPr>
          <w:rFonts w:asciiTheme="majorBidi" w:hAnsiTheme="majorBidi" w:cstheme="majorBidi"/>
          <w:sz w:val="24"/>
        </w:rPr>
      </w:pPr>
      <w:r w:rsidRPr="00345016">
        <w:rPr>
          <w:rFonts w:asciiTheme="majorBidi" w:hAnsiTheme="majorBidi" w:cstheme="majorBidi"/>
          <w:sz w:val="24"/>
        </w:rPr>
        <w:t>It is made clear that these requirements shall also apply to a subcontractor that is brought in after the choice of the winner.</w:t>
      </w:r>
    </w:p>
    <w:p w:rsidR="00345016" w:rsidRPr="00345016" w:rsidRDefault="00345016" w:rsidP="00455EC7">
      <w:pPr>
        <w:pStyle w:val="a7"/>
        <w:numPr>
          <w:ilvl w:val="1"/>
          <w:numId w:val="8"/>
        </w:numPr>
        <w:bidi w:val="0"/>
        <w:spacing w:after="240"/>
        <w:rPr>
          <w:rFonts w:asciiTheme="majorBidi" w:hAnsiTheme="majorBidi" w:cstheme="majorBidi"/>
          <w:sz w:val="24"/>
        </w:rPr>
      </w:pPr>
      <w:r w:rsidRPr="00345016">
        <w:rPr>
          <w:rFonts w:asciiTheme="majorBidi" w:hAnsiTheme="majorBidi" w:cstheme="majorBidi"/>
          <w:sz w:val="24"/>
        </w:rPr>
        <w:t>The manufacturers proposed by the Bidder in the following categories only:</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6"/>
        <w:gridCol w:w="1927"/>
      </w:tblGrid>
      <w:tr w:rsidR="000246A8" w:rsidRPr="00345016" w:rsidTr="00345016">
        <w:trPr>
          <w:tblHeader/>
          <w:jc w:val="center"/>
        </w:trPr>
        <w:tc>
          <w:tcPr>
            <w:tcW w:w="4286" w:type="dxa"/>
            <w:tcBorders>
              <w:left w:val="single" w:sz="4" w:space="0" w:color="auto"/>
            </w:tcBorders>
            <w:shd w:val="clear" w:color="auto" w:fill="D9D9D9" w:themeFill="background1" w:themeFillShade="D9"/>
            <w:vAlign w:val="center"/>
          </w:tcPr>
          <w:p w:rsidR="000246A8" w:rsidRPr="00345016" w:rsidRDefault="00345016" w:rsidP="00455EC7">
            <w:pPr>
              <w:bidi w:val="0"/>
              <w:jc w:val="center"/>
              <w:rPr>
                <w:rFonts w:asciiTheme="majorBidi" w:hAnsiTheme="majorBidi" w:cstheme="majorBidi"/>
                <w:b/>
                <w:bCs/>
                <w:sz w:val="24"/>
                <w:rtl/>
              </w:rPr>
            </w:pPr>
            <w:r>
              <w:rPr>
                <w:rFonts w:asciiTheme="majorBidi" w:hAnsiTheme="majorBidi" w:cstheme="majorBidi"/>
                <w:b/>
                <w:bCs/>
                <w:sz w:val="24"/>
              </w:rPr>
              <w:t>Type of item</w:t>
            </w:r>
          </w:p>
        </w:tc>
        <w:tc>
          <w:tcPr>
            <w:tcW w:w="1927" w:type="dxa"/>
            <w:shd w:val="clear" w:color="auto" w:fill="D9D9D9" w:themeFill="background1" w:themeFillShade="D9"/>
            <w:vAlign w:val="center"/>
          </w:tcPr>
          <w:p w:rsidR="000246A8" w:rsidRPr="00345016" w:rsidRDefault="00345016" w:rsidP="00455EC7">
            <w:pPr>
              <w:bidi w:val="0"/>
              <w:jc w:val="center"/>
              <w:rPr>
                <w:rFonts w:asciiTheme="majorBidi" w:hAnsiTheme="majorBidi" w:cstheme="majorBidi"/>
                <w:b/>
                <w:bCs/>
                <w:sz w:val="24"/>
                <w:rtl/>
              </w:rPr>
            </w:pPr>
            <w:r>
              <w:rPr>
                <w:rFonts w:asciiTheme="majorBidi" w:hAnsiTheme="majorBidi" w:cstheme="majorBidi"/>
                <w:b/>
                <w:bCs/>
                <w:sz w:val="24"/>
              </w:rPr>
              <w:t>Category no. in the statement of quantities</w:t>
            </w:r>
          </w:p>
        </w:tc>
      </w:tr>
      <w:tr w:rsidR="000246A8" w:rsidRPr="00345016" w:rsidTr="00345016">
        <w:trPr>
          <w:jc w:val="center"/>
        </w:trPr>
        <w:tc>
          <w:tcPr>
            <w:tcW w:w="4286" w:type="dxa"/>
            <w:tcBorders>
              <w:left w:val="single" w:sz="4" w:space="0" w:color="auto"/>
            </w:tcBorders>
          </w:tcPr>
          <w:p w:rsidR="000246A8" w:rsidRPr="00345016" w:rsidRDefault="00345016" w:rsidP="00455EC7">
            <w:pPr>
              <w:bidi w:val="0"/>
              <w:spacing w:before="60" w:after="60"/>
              <w:rPr>
                <w:rFonts w:asciiTheme="majorBidi" w:hAnsiTheme="majorBidi" w:cstheme="majorBidi"/>
                <w:sz w:val="24"/>
              </w:rPr>
            </w:pPr>
            <w:r>
              <w:rPr>
                <w:rFonts w:asciiTheme="majorBidi" w:hAnsiTheme="majorBidi" w:cstheme="majorBidi"/>
                <w:sz w:val="24"/>
              </w:rPr>
              <w:t>Copper wire for data and telephony communications, including end sockets and RJ45 connectors</w:t>
            </w:r>
          </w:p>
        </w:tc>
        <w:tc>
          <w:tcPr>
            <w:tcW w:w="1927" w:type="dxa"/>
          </w:tcPr>
          <w:p w:rsidR="000246A8" w:rsidRPr="00345016" w:rsidRDefault="000246A8" w:rsidP="00455EC7">
            <w:pPr>
              <w:bidi w:val="0"/>
              <w:spacing w:before="60" w:after="60"/>
              <w:jc w:val="center"/>
              <w:rPr>
                <w:rFonts w:asciiTheme="majorBidi" w:hAnsiTheme="majorBidi" w:cstheme="majorBidi"/>
                <w:sz w:val="24"/>
              </w:rPr>
            </w:pPr>
            <w:r w:rsidRPr="00345016">
              <w:rPr>
                <w:rFonts w:asciiTheme="majorBidi" w:hAnsiTheme="majorBidi" w:cstheme="majorBidi"/>
                <w:sz w:val="24"/>
                <w:rtl/>
              </w:rPr>
              <w:t>1</w:t>
            </w:r>
          </w:p>
        </w:tc>
      </w:tr>
      <w:tr w:rsidR="000246A8" w:rsidRPr="00345016" w:rsidTr="00345016">
        <w:trPr>
          <w:jc w:val="center"/>
        </w:trPr>
        <w:tc>
          <w:tcPr>
            <w:tcW w:w="4286" w:type="dxa"/>
            <w:tcBorders>
              <w:left w:val="single" w:sz="4" w:space="0" w:color="auto"/>
            </w:tcBorders>
          </w:tcPr>
          <w:p w:rsidR="000246A8" w:rsidRPr="00345016" w:rsidRDefault="00345016" w:rsidP="00455EC7">
            <w:pPr>
              <w:bidi w:val="0"/>
              <w:spacing w:before="60" w:after="60"/>
              <w:rPr>
                <w:rFonts w:asciiTheme="majorBidi" w:hAnsiTheme="majorBidi" w:cstheme="majorBidi"/>
                <w:sz w:val="24"/>
                <w:rtl/>
              </w:rPr>
            </w:pPr>
            <w:r>
              <w:rPr>
                <w:rFonts w:asciiTheme="majorBidi" w:hAnsiTheme="majorBidi" w:cstheme="majorBidi"/>
                <w:sz w:val="24"/>
              </w:rPr>
              <w:lastRenderedPageBreak/>
              <w:t>Optic fiber and peripherals for data communications</w:t>
            </w:r>
          </w:p>
        </w:tc>
        <w:tc>
          <w:tcPr>
            <w:tcW w:w="1927" w:type="dxa"/>
          </w:tcPr>
          <w:p w:rsidR="000246A8" w:rsidRPr="00345016" w:rsidRDefault="000246A8" w:rsidP="00455EC7">
            <w:pPr>
              <w:bidi w:val="0"/>
              <w:spacing w:before="60" w:after="60"/>
              <w:jc w:val="center"/>
              <w:rPr>
                <w:rFonts w:asciiTheme="majorBidi" w:hAnsiTheme="majorBidi" w:cstheme="majorBidi"/>
                <w:sz w:val="24"/>
              </w:rPr>
            </w:pPr>
            <w:r w:rsidRPr="00345016">
              <w:rPr>
                <w:rFonts w:asciiTheme="majorBidi" w:hAnsiTheme="majorBidi" w:cstheme="majorBidi"/>
                <w:sz w:val="24"/>
                <w:rtl/>
              </w:rPr>
              <w:t>2</w:t>
            </w:r>
          </w:p>
        </w:tc>
      </w:tr>
      <w:tr w:rsidR="000246A8" w:rsidRPr="00345016" w:rsidTr="00345016">
        <w:trPr>
          <w:jc w:val="center"/>
        </w:trPr>
        <w:tc>
          <w:tcPr>
            <w:tcW w:w="4286" w:type="dxa"/>
            <w:tcBorders>
              <w:left w:val="single" w:sz="4" w:space="0" w:color="auto"/>
            </w:tcBorders>
          </w:tcPr>
          <w:p w:rsidR="00345016" w:rsidRPr="00345016" w:rsidRDefault="00345016" w:rsidP="00455EC7">
            <w:pPr>
              <w:bidi w:val="0"/>
              <w:spacing w:before="60" w:after="60"/>
              <w:rPr>
                <w:rFonts w:asciiTheme="majorBidi" w:hAnsiTheme="majorBidi" w:cstheme="majorBidi"/>
                <w:sz w:val="24"/>
              </w:rPr>
            </w:pPr>
            <w:r>
              <w:rPr>
                <w:rFonts w:asciiTheme="majorBidi" w:hAnsiTheme="majorBidi" w:cstheme="majorBidi"/>
                <w:sz w:val="24"/>
              </w:rPr>
              <w:t>Bases for servers and/or communications</w:t>
            </w:r>
          </w:p>
        </w:tc>
        <w:tc>
          <w:tcPr>
            <w:tcW w:w="1927" w:type="dxa"/>
          </w:tcPr>
          <w:p w:rsidR="000246A8" w:rsidRPr="00345016" w:rsidDel="00217626" w:rsidRDefault="000246A8" w:rsidP="00455EC7">
            <w:pPr>
              <w:bidi w:val="0"/>
              <w:spacing w:before="60" w:after="60"/>
              <w:jc w:val="center"/>
              <w:rPr>
                <w:rFonts w:asciiTheme="majorBidi" w:hAnsiTheme="majorBidi" w:cstheme="majorBidi"/>
                <w:sz w:val="24"/>
                <w:rtl/>
              </w:rPr>
            </w:pPr>
            <w:r w:rsidRPr="00345016">
              <w:rPr>
                <w:rFonts w:asciiTheme="majorBidi" w:hAnsiTheme="majorBidi" w:cstheme="majorBidi"/>
                <w:sz w:val="24"/>
                <w:rtl/>
              </w:rPr>
              <w:t>3</w:t>
            </w:r>
          </w:p>
        </w:tc>
      </w:tr>
      <w:tr w:rsidR="000246A8" w:rsidRPr="00345016" w:rsidTr="00345016">
        <w:trPr>
          <w:jc w:val="center"/>
        </w:trPr>
        <w:tc>
          <w:tcPr>
            <w:tcW w:w="4286" w:type="dxa"/>
            <w:tcBorders>
              <w:left w:val="single" w:sz="4" w:space="0" w:color="auto"/>
            </w:tcBorders>
          </w:tcPr>
          <w:p w:rsidR="000246A8" w:rsidRPr="00345016" w:rsidRDefault="00345016" w:rsidP="00455EC7">
            <w:pPr>
              <w:bidi w:val="0"/>
              <w:spacing w:before="60" w:after="60"/>
              <w:rPr>
                <w:rFonts w:asciiTheme="majorBidi" w:hAnsiTheme="majorBidi" w:cstheme="majorBidi"/>
                <w:sz w:val="24"/>
              </w:rPr>
            </w:pPr>
            <w:r>
              <w:rPr>
                <w:rFonts w:asciiTheme="majorBidi" w:hAnsiTheme="majorBidi" w:cstheme="majorBidi"/>
                <w:sz w:val="24"/>
              </w:rPr>
              <w:t>Uninterruptable electrical peripherals and systems with a power supply of up to 10 KVA</w:t>
            </w:r>
          </w:p>
        </w:tc>
        <w:tc>
          <w:tcPr>
            <w:tcW w:w="1927" w:type="dxa"/>
          </w:tcPr>
          <w:p w:rsidR="000246A8" w:rsidRPr="00345016" w:rsidRDefault="000246A8" w:rsidP="00455EC7">
            <w:pPr>
              <w:bidi w:val="0"/>
              <w:spacing w:before="60" w:after="60"/>
              <w:jc w:val="center"/>
              <w:rPr>
                <w:rFonts w:asciiTheme="majorBidi" w:hAnsiTheme="majorBidi" w:cstheme="majorBidi"/>
                <w:sz w:val="24"/>
                <w:rtl/>
              </w:rPr>
            </w:pPr>
            <w:r w:rsidRPr="00345016">
              <w:rPr>
                <w:rFonts w:asciiTheme="majorBidi" w:hAnsiTheme="majorBidi" w:cstheme="majorBidi"/>
                <w:sz w:val="24"/>
                <w:rtl/>
              </w:rPr>
              <w:t>5</w:t>
            </w:r>
          </w:p>
        </w:tc>
      </w:tr>
    </w:tbl>
    <w:p w:rsidR="00661B8F" w:rsidRPr="00345016" w:rsidRDefault="00345016" w:rsidP="00455EC7">
      <w:pPr>
        <w:pStyle w:val="4-"/>
        <w:numPr>
          <w:ilvl w:val="0"/>
          <w:numId w:val="0"/>
        </w:numPr>
        <w:bidi w:val="0"/>
        <w:spacing w:before="240" w:line="240" w:lineRule="auto"/>
        <w:ind w:left="1728"/>
        <w:rPr>
          <w:rFonts w:asciiTheme="majorBidi" w:hAnsiTheme="majorBidi" w:cstheme="majorBidi"/>
        </w:rPr>
      </w:pPr>
      <w:r>
        <w:rPr>
          <w:rFonts w:asciiTheme="majorBidi" w:hAnsiTheme="majorBidi" w:cstheme="majorBidi"/>
        </w:rPr>
        <w:t>Meets the following requirements:</w:t>
      </w:r>
    </w:p>
    <w:p w:rsidR="00345016" w:rsidRPr="00345016" w:rsidRDefault="00B156C1" w:rsidP="00455EC7">
      <w:pPr>
        <w:widowControl/>
        <w:numPr>
          <w:ilvl w:val="1"/>
          <w:numId w:val="8"/>
        </w:numPr>
        <w:overflowPunct w:val="0"/>
        <w:autoSpaceDE w:val="0"/>
        <w:autoSpaceDN w:val="0"/>
        <w:bidi w:val="0"/>
        <w:adjustRightInd w:val="0"/>
        <w:spacing w:after="120"/>
        <w:ind w:left="1440" w:right="567" w:hanging="1080"/>
        <w:textAlignment w:val="baseline"/>
        <w:rPr>
          <w:rFonts w:asciiTheme="majorBidi" w:hAnsiTheme="majorBidi" w:cstheme="majorBidi"/>
          <w:sz w:val="24"/>
        </w:rPr>
      </w:pPr>
      <w:r>
        <w:rPr>
          <w:rFonts w:asciiTheme="majorBidi" w:hAnsiTheme="majorBidi" w:cstheme="majorBidi"/>
          <w:sz w:val="24"/>
        </w:rPr>
        <w:t>T</w:t>
      </w:r>
      <w:r w:rsidR="00345016">
        <w:rPr>
          <w:rFonts w:asciiTheme="majorBidi" w:hAnsiTheme="majorBidi" w:cstheme="majorBidi"/>
          <w:sz w:val="24"/>
        </w:rPr>
        <w:t xml:space="preserve">he manufacturer </w:t>
      </w:r>
      <w:r>
        <w:rPr>
          <w:rFonts w:asciiTheme="majorBidi" w:hAnsiTheme="majorBidi" w:cstheme="majorBidi"/>
          <w:sz w:val="24"/>
        </w:rPr>
        <w:t>wa</w:t>
      </w:r>
      <w:r w:rsidR="00345016">
        <w:rPr>
          <w:rFonts w:asciiTheme="majorBidi" w:hAnsiTheme="majorBidi" w:cstheme="majorBidi"/>
          <w:sz w:val="24"/>
        </w:rPr>
        <w:t>s engaged in the development</w:t>
      </w:r>
      <w:r>
        <w:rPr>
          <w:rFonts w:asciiTheme="majorBidi" w:hAnsiTheme="majorBidi" w:cstheme="majorBidi"/>
          <w:sz w:val="24"/>
        </w:rPr>
        <w:t>, manufacture, and sale of equipment in the product categories mentioned in the table below, in the brand name proposed in the Bidder's bid, and, in 2015, 2016, and 2017,</w:t>
      </w:r>
      <w:r w:rsidRPr="00B156C1">
        <w:rPr>
          <w:rFonts w:asciiTheme="majorBidi" w:hAnsiTheme="majorBidi" w:cstheme="majorBidi"/>
          <w:sz w:val="24"/>
        </w:rPr>
        <w:t xml:space="preserve"> </w:t>
      </w:r>
      <w:r>
        <w:rPr>
          <w:rFonts w:asciiTheme="majorBidi" w:hAnsiTheme="majorBidi" w:cstheme="majorBidi"/>
          <w:sz w:val="24"/>
        </w:rPr>
        <w:t>had cumulative sales of</w:t>
      </w:r>
      <w:r w:rsidR="00692C7F">
        <w:rPr>
          <w:rFonts w:asciiTheme="majorBidi" w:hAnsiTheme="majorBidi" w:cstheme="majorBidi"/>
          <w:sz w:val="24"/>
        </w:rPr>
        <w:t xml:space="preserve"> not less than what is mentioned in the table below:</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1"/>
        <w:gridCol w:w="2162"/>
      </w:tblGrid>
      <w:tr w:rsidR="000246A8" w:rsidRPr="00345016" w:rsidTr="00692C7F">
        <w:trPr>
          <w:trHeight w:val="878"/>
          <w:jc w:val="center"/>
        </w:trPr>
        <w:tc>
          <w:tcPr>
            <w:tcW w:w="4891" w:type="dxa"/>
            <w:tcBorders>
              <w:left w:val="single" w:sz="4" w:space="0" w:color="auto"/>
            </w:tcBorders>
            <w:shd w:val="clear" w:color="auto" w:fill="BFBFBF" w:themeFill="background1" w:themeFillShade="BF"/>
            <w:vAlign w:val="center"/>
          </w:tcPr>
          <w:p w:rsidR="000246A8" w:rsidRPr="00345016" w:rsidRDefault="00692C7F" w:rsidP="00455EC7">
            <w:pPr>
              <w:bidi w:val="0"/>
              <w:spacing w:before="60" w:after="60"/>
              <w:jc w:val="center"/>
              <w:rPr>
                <w:rFonts w:asciiTheme="majorBidi" w:hAnsiTheme="majorBidi" w:cstheme="majorBidi"/>
                <w:b/>
                <w:bCs/>
                <w:sz w:val="24"/>
                <w:rtl/>
              </w:rPr>
            </w:pPr>
            <w:r>
              <w:rPr>
                <w:rFonts w:asciiTheme="majorBidi" w:hAnsiTheme="majorBidi" w:cstheme="majorBidi"/>
                <w:b/>
                <w:bCs/>
                <w:sz w:val="24"/>
              </w:rPr>
              <w:t>Type of item</w:t>
            </w:r>
          </w:p>
        </w:tc>
        <w:tc>
          <w:tcPr>
            <w:tcW w:w="2162" w:type="dxa"/>
            <w:shd w:val="clear" w:color="auto" w:fill="BFBFBF" w:themeFill="background1" w:themeFillShade="BF"/>
            <w:vAlign w:val="center"/>
          </w:tcPr>
          <w:p w:rsidR="000246A8" w:rsidRPr="00345016" w:rsidRDefault="00692C7F" w:rsidP="00455EC7">
            <w:pPr>
              <w:spacing w:before="60" w:after="60"/>
              <w:jc w:val="center"/>
              <w:rPr>
                <w:rFonts w:asciiTheme="majorBidi" w:hAnsiTheme="majorBidi" w:cstheme="majorBidi"/>
                <w:b/>
                <w:bCs/>
                <w:sz w:val="24"/>
                <w:rtl/>
              </w:rPr>
            </w:pPr>
            <w:r>
              <w:rPr>
                <w:rFonts w:asciiTheme="majorBidi" w:hAnsiTheme="majorBidi" w:cstheme="majorBidi"/>
                <w:b/>
                <w:bCs/>
                <w:sz w:val="24"/>
              </w:rPr>
              <w:t>Minimum required sales (millions USD)</w:t>
            </w:r>
          </w:p>
        </w:tc>
      </w:tr>
      <w:tr w:rsidR="000246A8" w:rsidRPr="00345016" w:rsidTr="00692C7F">
        <w:trPr>
          <w:jc w:val="center"/>
        </w:trPr>
        <w:tc>
          <w:tcPr>
            <w:tcW w:w="4891" w:type="dxa"/>
            <w:tcBorders>
              <w:left w:val="single" w:sz="4" w:space="0" w:color="auto"/>
            </w:tcBorders>
            <w:vAlign w:val="center"/>
          </w:tcPr>
          <w:p w:rsidR="000246A8" w:rsidRPr="00345016" w:rsidRDefault="00692C7F" w:rsidP="00455EC7">
            <w:pPr>
              <w:bidi w:val="0"/>
              <w:spacing w:before="60" w:after="60"/>
              <w:rPr>
                <w:rFonts w:asciiTheme="majorBidi" w:hAnsiTheme="majorBidi" w:cstheme="majorBidi"/>
                <w:sz w:val="24"/>
              </w:rPr>
            </w:pPr>
            <w:r>
              <w:rPr>
                <w:rFonts w:asciiTheme="majorBidi" w:hAnsiTheme="majorBidi" w:cstheme="majorBidi"/>
                <w:sz w:val="24"/>
              </w:rPr>
              <w:t>Copper wire for data communications</w:t>
            </w:r>
          </w:p>
        </w:tc>
        <w:tc>
          <w:tcPr>
            <w:tcW w:w="2162" w:type="dxa"/>
          </w:tcPr>
          <w:p w:rsidR="000246A8" w:rsidRPr="00345016" w:rsidRDefault="000246A8" w:rsidP="00455EC7">
            <w:pPr>
              <w:bidi w:val="0"/>
              <w:spacing w:before="60" w:after="60"/>
              <w:jc w:val="center"/>
              <w:rPr>
                <w:rFonts w:asciiTheme="majorBidi" w:hAnsiTheme="majorBidi" w:cstheme="majorBidi"/>
                <w:sz w:val="24"/>
                <w:rtl/>
              </w:rPr>
            </w:pPr>
            <w:r w:rsidRPr="00345016">
              <w:rPr>
                <w:rFonts w:asciiTheme="majorBidi" w:hAnsiTheme="majorBidi" w:cstheme="majorBidi"/>
                <w:sz w:val="24"/>
                <w:rtl/>
              </w:rPr>
              <w:t>50</w:t>
            </w:r>
          </w:p>
        </w:tc>
      </w:tr>
      <w:tr w:rsidR="000246A8" w:rsidRPr="00345016" w:rsidTr="00692C7F">
        <w:trPr>
          <w:jc w:val="center"/>
        </w:trPr>
        <w:tc>
          <w:tcPr>
            <w:tcW w:w="4891" w:type="dxa"/>
            <w:tcBorders>
              <w:left w:val="single" w:sz="4" w:space="0" w:color="auto"/>
            </w:tcBorders>
            <w:vAlign w:val="center"/>
          </w:tcPr>
          <w:p w:rsidR="000246A8" w:rsidRPr="00345016" w:rsidRDefault="00692C7F" w:rsidP="00455EC7">
            <w:pPr>
              <w:bidi w:val="0"/>
              <w:spacing w:before="60" w:after="60"/>
              <w:rPr>
                <w:rFonts w:asciiTheme="majorBidi" w:hAnsiTheme="majorBidi" w:cstheme="majorBidi"/>
                <w:sz w:val="24"/>
                <w:rtl/>
              </w:rPr>
            </w:pPr>
            <w:r>
              <w:rPr>
                <w:rFonts w:asciiTheme="majorBidi" w:hAnsiTheme="majorBidi" w:cstheme="majorBidi"/>
                <w:sz w:val="24"/>
              </w:rPr>
              <w:t>Optic fiber for data communications</w:t>
            </w:r>
          </w:p>
        </w:tc>
        <w:tc>
          <w:tcPr>
            <w:tcW w:w="2162" w:type="dxa"/>
          </w:tcPr>
          <w:p w:rsidR="000246A8" w:rsidRPr="00345016" w:rsidRDefault="000246A8" w:rsidP="00455EC7">
            <w:pPr>
              <w:bidi w:val="0"/>
              <w:spacing w:before="60" w:after="60"/>
              <w:jc w:val="center"/>
              <w:rPr>
                <w:rFonts w:asciiTheme="majorBidi" w:hAnsiTheme="majorBidi" w:cstheme="majorBidi"/>
                <w:sz w:val="24"/>
                <w:rtl/>
              </w:rPr>
            </w:pPr>
            <w:r w:rsidRPr="00345016">
              <w:rPr>
                <w:rFonts w:asciiTheme="majorBidi" w:hAnsiTheme="majorBidi" w:cstheme="majorBidi"/>
                <w:sz w:val="24"/>
                <w:rtl/>
              </w:rPr>
              <w:t>50</w:t>
            </w:r>
          </w:p>
        </w:tc>
      </w:tr>
      <w:tr w:rsidR="000246A8" w:rsidRPr="00345016" w:rsidTr="00692C7F">
        <w:trPr>
          <w:jc w:val="center"/>
        </w:trPr>
        <w:tc>
          <w:tcPr>
            <w:tcW w:w="4891" w:type="dxa"/>
            <w:tcBorders>
              <w:left w:val="single" w:sz="4" w:space="0" w:color="auto"/>
            </w:tcBorders>
            <w:vAlign w:val="center"/>
          </w:tcPr>
          <w:p w:rsidR="000246A8" w:rsidRPr="00345016" w:rsidRDefault="00692C7F" w:rsidP="00455EC7">
            <w:pPr>
              <w:bidi w:val="0"/>
              <w:spacing w:before="60" w:after="60"/>
              <w:rPr>
                <w:rFonts w:asciiTheme="majorBidi" w:hAnsiTheme="majorBidi" w:cstheme="majorBidi"/>
                <w:sz w:val="24"/>
              </w:rPr>
            </w:pPr>
            <w:r>
              <w:rPr>
                <w:rFonts w:asciiTheme="majorBidi" w:hAnsiTheme="majorBidi" w:cstheme="majorBidi" w:hint="cs"/>
                <w:sz w:val="24"/>
              </w:rPr>
              <w:t>E</w:t>
            </w:r>
            <w:r>
              <w:rPr>
                <w:rFonts w:asciiTheme="majorBidi" w:hAnsiTheme="majorBidi" w:cstheme="majorBidi"/>
                <w:sz w:val="24"/>
              </w:rPr>
              <w:t>nd sockets and RJ45 connectors</w:t>
            </w:r>
          </w:p>
        </w:tc>
        <w:tc>
          <w:tcPr>
            <w:tcW w:w="2162" w:type="dxa"/>
          </w:tcPr>
          <w:p w:rsidR="000246A8" w:rsidRPr="00345016" w:rsidRDefault="000246A8" w:rsidP="00455EC7">
            <w:pPr>
              <w:bidi w:val="0"/>
              <w:spacing w:before="60" w:after="60"/>
              <w:jc w:val="center"/>
              <w:rPr>
                <w:rFonts w:asciiTheme="majorBidi" w:hAnsiTheme="majorBidi" w:cstheme="majorBidi"/>
                <w:sz w:val="24"/>
                <w:rtl/>
              </w:rPr>
            </w:pPr>
            <w:r w:rsidRPr="00345016">
              <w:rPr>
                <w:rFonts w:asciiTheme="majorBidi" w:hAnsiTheme="majorBidi" w:cstheme="majorBidi"/>
                <w:sz w:val="24"/>
                <w:rtl/>
              </w:rPr>
              <w:t>6</w:t>
            </w:r>
          </w:p>
        </w:tc>
      </w:tr>
      <w:tr w:rsidR="000246A8" w:rsidRPr="00345016" w:rsidTr="00692C7F">
        <w:trPr>
          <w:jc w:val="center"/>
        </w:trPr>
        <w:tc>
          <w:tcPr>
            <w:tcW w:w="4891" w:type="dxa"/>
            <w:tcBorders>
              <w:left w:val="single" w:sz="4" w:space="0" w:color="auto"/>
            </w:tcBorders>
            <w:vAlign w:val="center"/>
          </w:tcPr>
          <w:p w:rsidR="000246A8" w:rsidRPr="00345016" w:rsidRDefault="00692C7F" w:rsidP="00455EC7">
            <w:pPr>
              <w:bidi w:val="0"/>
              <w:spacing w:before="60" w:after="60"/>
              <w:rPr>
                <w:rFonts w:asciiTheme="majorBidi" w:hAnsiTheme="majorBidi" w:cstheme="majorBidi"/>
                <w:sz w:val="24"/>
                <w:rtl/>
              </w:rPr>
            </w:pPr>
            <w:r>
              <w:rPr>
                <w:rFonts w:asciiTheme="majorBidi" w:hAnsiTheme="majorBidi" w:cstheme="majorBidi"/>
                <w:sz w:val="24"/>
              </w:rPr>
              <w:t>Bases for servers and/or communications systems, including peripherals</w:t>
            </w:r>
          </w:p>
        </w:tc>
        <w:tc>
          <w:tcPr>
            <w:tcW w:w="2162" w:type="dxa"/>
          </w:tcPr>
          <w:p w:rsidR="000246A8" w:rsidRPr="00345016" w:rsidRDefault="000246A8" w:rsidP="00455EC7">
            <w:pPr>
              <w:bidi w:val="0"/>
              <w:spacing w:before="60" w:after="60"/>
              <w:jc w:val="center"/>
              <w:rPr>
                <w:rFonts w:asciiTheme="majorBidi" w:hAnsiTheme="majorBidi" w:cstheme="majorBidi"/>
                <w:sz w:val="24"/>
                <w:rtl/>
              </w:rPr>
            </w:pPr>
            <w:r w:rsidRPr="00345016">
              <w:rPr>
                <w:rFonts w:asciiTheme="majorBidi" w:hAnsiTheme="majorBidi" w:cstheme="majorBidi"/>
                <w:sz w:val="24"/>
                <w:rtl/>
              </w:rPr>
              <w:t>15</w:t>
            </w:r>
          </w:p>
        </w:tc>
      </w:tr>
      <w:tr w:rsidR="000246A8" w:rsidRPr="00345016" w:rsidTr="00692C7F">
        <w:trPr>
          <w:jc w:val="center"/>
        </w:trPr>
        <w:tc>
          <w:tcPr>
            <w:tcW w:w="4891" w:type="dxa"/>
            <w:tcBorders>
              <w:left w:val="single" w:sz="4" w:space="0" w:color="auto"/>
            </w:tcBorders>
            <w:vAlign w:val="center"/>
          </w:tcPr>
          <w:p w:rsidR="000246A8" w:rsidRPr="00345016" w:rsidDel="008D6327" w:rsidRDefault="00692C7F" w:rsidP="00455EC7">
            <w:pPr>
              <w:bidi w:val="0"/>
              <w:spacing w:before="60" w:after="60"/>
              <w:rPr>
                <w:rFonts w:asciiTheme="majorBidi" w:hAnsiTheme="majorBidi" w:cstheme="majorBidi"/>
                <w:sz w:val="24"/>
                <w:rtl/>
              </w:rPr>
            </w:pPr>
            <w:r>
              <w:rPr>
                <w:rFonts w:asciiTheme="majorBidi" w:hAnsiTheme="majorBidi" w:cstheme="majorBidi"/>
                <w:sz w:val="24"/>
              </w:rPr>
              <w:t>Uninterruptable a power supply of up to 10 KVA</w:t>
            </w:r>
          </w:p>
        </w:tc>
        <w:tc>
          <w:tcPr>
            <w:tcW w:w="2162" w:type="dxa"/>
          </w:tcPr>
          <w:p w:rsidR="000246A8" w:rsidRPr="00345016" w:rsidDel="00A87E03" w:rsidRDefault="000246A8" w:rsidP="00455EC7">
            <w:pPr>
              <w:bidi w:val="0"/>
              <w:spacing w:before="60" w:after="60"/>
              <w:jc w:val="center"/>
              <w:rPr>
                <w:rFonts w:asciiTheme="majorBidi" w:hAnsiTheme="majorBidi" w:cstheme="majorBidi"/>
                <w:sz w:val="24"/>
                <w:rtl/>
              </w:rPr>
            </w:pPr>
            <w:r w:rsidRPr="00345016">
              <w:rPr>
                <w:rFonts w:asciiTheme="majorBidi" w:hAnsiTheme="majorBidi" w:cstheme="majorBidi"/>
                <w:sz w:val="24"/>
                <w:rtl/>
              </w:rPr>
              <w:t>5</w:t>
            </w:r>
          </w:p>
        </w:tc>
      </w:tr>
    </w:tbl>
    <w:p w:rsidR="000246A8" w:rsidRPr="00345016" w:rsidRDefault="000246A8" w:rsidP="00455EC7">
      <w:pPr>
        <w:rPr>
          <w:rFonts w:asciiTheme="majorBidi" w:hAnsiTheme="majorBidi" w:cstheme="majorBidi"/>
        </w:rPr>
      </w:pPr>
    </w:p>
    <w:p w:rsidR="00692C7F" w:rsidRPr="00F929D5" w:rsidRDefault="00F929D5" w:rsidP="00455EC7">
      <w:pPr>
        <w:widowControl/>
        <w:numPr>
          <w:ilvl w:val="1"/>
          <w:numId w:val="8"/>
        </w:numPr>
        <w:overflowPunct w:val="0"/>
        <w:autoSpaceDE w:val="0"/>
        <w:autoSpaceDN w:val="0"/>
        <w:bidi w:val="0"/>
        <w:adjustRightInd w:val="0"/>
        <w:spacing w:after="120"/>
        <w:ind w:left="1440" w:right="567" w:hanging="1080"/>
        <w:textAlignment w:val="baseline"/>
        <w:rPr>
          <w:rFonts w:asciiTheme="majorBidi" w:hAnsiTheme="majorBidi" w:cstheme="majorBidi"/>
          <w:sz w:val="24"/>
          <w:u w:val="single"/>
        </w:rPr>
      </w:pPr>
      <w:r>
        <w:rPr>
          <w:rFonts w:asciiTheme="majorBidi" w:hAnsiTheme="majorBidi" w:cstheme="majorBidi"/>
          <w:sz w:val="24"/>
        </w:rPr>
        <w:t>The Manufacturer undertakes to provide full support for the Bidder in Israel, to continue to supply the requested servers, spare parts, and technology upgrades throughout the procurement and service period, and to assist in maintaining continuity for providing the warranty for its equipment. If the Bidder ceases to provide the requested services, the manufacturer shall undertake to assist in sending the requested servers to the new supplier which shall be chosen.</w:t>
      </w:r>
    </w:p>
    <w:p w:rsidR="00F929D5" w:rsidRPr="00455EC7" w:rsidRDefault="00F929D5" w:rsidP="00455EC7">
      <w:pPr>
        <w:widowControl/>
        <w:numPr>
          <w:ilvl w:val="1"/>
          <w:numId w:val="8"/>
        </w:numPr>
        <w:overflowPunct w:val="0"/>
        <w:autoSpaceDE w:val="0"/>
        <w:autoSpaceDN w:val="0"/>
        <w:bidi w:val="0"/>
        <w:adjustRightInd w:val="0"/>
        <w:spacing w:after="120"/>
        <w:ind w:left="1440" w:right="567" w:hanging="1080"/>
        <w:textAlignment w:val="baseline"/>
        <w:rPr>
          <w:rFonts w:asciiTheme="majorBidi" w:hAnsiTheme="majorBidi" w:cstheme="majorBidi"/>
          <w:sz w:val="24"/>
          <w:u w:val="single"/>
        </w:rPr>
      </w:pPr>
      <w:r>
        <w:rPr>
          <w:rFonts w:asciiTheme="majorBidi" w:hAnsiTheme="majorBidi" w:cstheme="majorBidi"/>
          <w:sz w:val="24"/>
        </w:rPr>
        <w:t>It is not required to provide a guarantee in the bids submission stage. A guarantee shall be required as a conditio</w:t>
      </w:r>
      <w:r w:rsidR="00455EC7">
        <w:rPr>
          <w:rFonts w:asciiTheme="majorBidi" w:hAnsiTheme="majorBidi" w:cstheme="majorBidi"/>
          <w:sz w:val="24"/>
        </w:rPr>
        <w:t>n for the Bidder to be declared as an approved Bidder for the second stage of the Tender – dynamic online competition, as mentioned in the Tender Documents.</w:t>
      </w:r>
    </w:p>
    <w:p w:rsidR="00455EC7" w:rsidRPr="00455EC7" w:rsidRDefault="00455EC7" w:rsidP="00455EC7">
      <w:pPr>
        <w:widowControl/>
        <w:numPr>
          <w:ilvl w:val="0"/>
          <w:numId w:val="8"/>
        </w:numPr>
        <w:overflowPunct w:val="0"/>
        <w:autoSpaceDE w:val="0"/>
        <w:autoSpaceDN w:val="0"/>
        <w:bidi w:val="0"/>
        <w:adjustRightInd w:val="0"/>
        <w:spacing w:after="120"/>
        <w:ind w:right="567"/>
        <w:textAlignment w:val="baseline"/>
        <w:rPr>
          <w:rFonts w:asciiTheme="majorBidi" w:hAnsiTheme="majorBidi" w:cstheme="majorBidi"/>
          <w:sz w:val="24"/>
          <w:u w:val="single"/>
        </w:rPr>
      </w:pPr>
      <w:r>
        <w:rPr>
          <w:rFonts w:asciiTheme="majorBidi" w:hAnsiTheme="majorBidi" w:cstheme="majorBidi"/>
          <w:sz w:val="24"/>
        </w:rPr>
        <w:t xml:space="preserve">The Tender Documents can be downloaded for free from the Procurements Administration website at: </w:t>
      </w:r>
      <w:hyperlink r:id="rId8" w:history="1">
        <w:r w:rsidRPr="00345016">
          <w:rPr>
            <w:rStyle w:val="Hyperlink"/>
            <w:rFonts w:asciiTheme="majorBidi" w:hAnsiTheme="majorBidi" w:cstheme="majorBidi"/>
            <w:sz w:val="24"/>
          </w:rPr>
          <w:t>https://www.mr.gov.il/CentralTenders/network/Pages/6-2018.aspx</w:t>
        </w:r>
      </w:hyperlink>
      <w:r>
        <w:rPr>
          <w:rFonts w:asciiTheme="majorBidi" w:hAnsiTheme="majorBidi" w:cstheme="majorBidi"/>
        </w:rPr>
        <w:t xml:space="preserve"> - </w:t>
      </w:r>
      <w:r>
        <w:rPr>
          <w:rFonts w:asciiTheme="majorBidi" w:hAnsiTheme="majorBidi" w:cstheme="majorBidi"/>
          <w:b/>
          <w:bCs/>
        </w:rPr>
        <w:t>no later than 23 August 2018</w:t>
      </w:r>
      <w:r>
        <w:rPr>
          <w:rFonts w:asciiTheme="majorBidi" w:hAnsiTheme="majorBidi" w:cstheme="majorBidi"/>
        </w:rPr>
        <w:t xml:space="preserve">. </w:t>
      </w:r>
    </w:p>
    <w:p w:rsidR="00455EC7" w:rsidRPr="00455EC7" w:rsidRDefault="00455EC7" w:rsidP="00455EC7">
      <w:pPr>
        <w:widowControl/>
        <w:numPr>
          <w:ilvl w:val="0"/>
          <w:numId w:val="8"/>
        </w:numPr>
        <w:overflowPunct w:val="0"/>
        <w:autoSpaceDE w:val="0"/>
        <w:autoSpaceDN w:val="0"/>
        <w:bidi w:val="0"/>
        <w:adjustRightInd w:val="0"/>
        <w:spacing w:after="120"/>
        <w:ind w:right="567"/>
        <w:textAlignment w:val="baseline"/>
        <w:rPr>
          <w:rFonts w:asciiTheme="majorBidi" w:hAnsiTheme="majorBidi" w:cstheme="majorBidi"/>
          <w:sz w:val="24"/>
          <w:u w:val="single"/>
        </w:rPr>
      </w:pPr>
      <w:r>
        <w:rPr>
          <w:rFonts w:asciiTheme="majorBidi" w:hAnsiTheme="majorBidi" w:cstheme="majorBidi"/>
          <w:sz w:val="24"/>
        </w:rPr>
        <w:t xml:space="preserve">The contact person for this Tender is Mr. Doron Rotem, at email: </w:t>
      </w:r>
      <w:hyperlink r:id="rId9" w:history="1">
        <w:r w:rsidRPr="00345016">
          <w:rPr>
            <w:rStyle w:val="Hyperlink"/>
            <w:rFonts w:asciiTheme="majorBidi" w:hAnsiTheme="majorBidi" w:cstheme="majorBidi"/>
            <w:sz w:val="24"/>
            <w:u w:val="none"/>
          </w:rPr>
          <w:t>Ct_6_2018@mof.gov.il</w:t>
        </w:r>
      </w:hyperlink>
      <w:r>
        <w:rPr>
          <w:rFonts w:asciiTheme="majorBidi" w:hAnsiTheme="majorBidi" w:cstheme="majorBidi"/>
        </w:rPr>
        <w:t>.</w:t>
      </w:r>
    </w:p>
    <w:p w:rsidR="00455EC7" w:rsidRPr="00455EC7" w:rsidRDefault="00455EC7" w:rsidP="00455EC7">
      <w:pPr>
        <w:widowControl/>
        <w:numPr>
          <w:ilvl w:val="0"/>
          <w:numId w:val="8"/>
        </w:numPr>
        <w:overflowPunct w:val="0"/>
        <w:autoSpaceDE w:val="0"/>
        <w:autoSpaceDN w:val="0"/>
        <w:bidi w:val="0"/>
        <w:adjustRightInd w:val="0"/>
        <w:spacing w:after="120"/>
        <w:ind w:right="567"/>
        <w:textAlignment w:val="baseline"/>
        <w:rPr>
          <w:rFonts w:asciiTheme="majorBidi" w:hAnsiTheme="majorBidi" w:cstheme="majorBidi"/>
          <w:sz w:val="24"/>
          <w:u w:val="single"/>
        </w:rPr>
      </w:pPr>
      <w:r>
        <w:rPr>
          <w:rFonts w:asciiTheme="majorBidi" w:hAnsiTheme="majorBidi" w:cstheme="majorBidi"/>
          <w:sz w:val="24"/>
        </w:rPr>
        <w:t>The bidders conference shall convene at 10:00 on 4 September 2018 at the location published in the Tender Documents.</w:t>
      </w:r>
    </w:p>
    <w:p w:rsidR="00455EC7" w:rsidRPr="00455EC7" w:rsidRDefault="00455EC7" w:rsidP="00455EC7">
      <w:pPr>
        <w:widowControl/>
        <w:numPr>
          <w:ilvl w:val="0"/>
          <w:numId w:val="8"/>
        </w:numPr>
        <w:overflowPunct w:val="0"/>
        <w:autoSpaceDE w:val="0"/>
        <w:autoSpaceDN w:val="0"/>
        <w:bidi w:val="0"/>
        <w:adjustRightInd w:val="0"/>
        <w:spacing w:after="120"/>
        <w:ind w:right="567"/>
        <w:textAlignment w:val="baseline"/>
        <w:rPr>
          <w:rFonts w:asciiTheme="majorBidi" w:hAnsiTheme="majorBidi" w:cstheme="majorBidi"/>
          <w:sz w:val="24"/>
          <w:u w:val="single"/>
        </w:rPr>
      </w:pPr>
      <w:r>
        <w:rPr>
          <w:rFonts w:asciiTheme="majorBidi" w:hAnsiTheme="majorBidi" w:cstheme="majorBidi"/>
          <w:sz w:val="24"/>
        </w:rPr>
        <w:lastRenderedPageBreak/>
        <w:t>Questions for clarification shall be submitted no later than 16:00 on 25 October 2018, pursuant to what is mentioned in the Tender Documents.</w:t>
      </w:r>
    </w:p>
    <w:p w:rsidR="00455EC7" w:rsidRPr="00455EC7" w:rsidRDefault="00455EC7" w:rsidP="00455EC7">
      <w:pPr>
        <w:widowControl/>
        <w:numPr>
          <w:ilvl w:val="0"/>
          <w:numId w:val="8"/>
        </w:numPr>
        <w:overflowPunct w:val="0"/>
        <w:autoSpaceDE w:val="0"/>
        <w:autoSpaceDN w:val="0"/>
        <w:bidi w:val="0"/>
        <w:adjustRightInd w:val="0"/>
        <w:spacing w:after="120"/>
        <w:ind w:right="567"/>
        <w:textAlignment w:val="baseline"/>
        <w:rPr>
          <w:rFonts w:asciiTheme="majorBidi" w:hAnsiTheme="majorBidi" w:cstheme="majorBidi"/>
          <w:sz w:val="24"/>
          <w:u w:val="single"/>
        </w:rPr>
      </w:pPr>
      <w:r>
        <w:rPr>
          <w:rFonts w:asciiTheme="majorBidi" w:hAnsiTheme="majorBidi" w:cstheme="majorBidi"/>
          <w:sz w:val="24"/>
        </w:rPr>
        <w:t>The bids in the Tender shall be submitted in closed envelopes/packages with no identification marks of the Bidder. They shall be marked pursuant to what is mentioned in the Tender Documents. The envelopes/packages shall be put in the tenders box at the Government Procurements Administration at 1 Netanel Lorch Street, entrance floor, Jerusalem.</w:t>
      </w:r>
    </w:p>
    <w:p w:rsidR="00455EC7" w:rsidRPr="00455EC7" w:rsidRDefault="00455EC7" w:rsidP="00455EC7">
      <w:pPr>
        <w:widowControl/>
        <w:numPr>
          <w:ilvl w:val="0"/>
          <w:numId w:val="8"/>
        </w:numPr>
        <w:overflowPunct w:val="0"/>
        <w:autoSpaceDE w:val="0"/>
        <w:autoSpaceDN w:val="0"/>
        <w:bidi w:val="0"/>
        <w:adjustRightInd w:val="0"/>
        <w:spacing w:after="120"/>
        <w:ind w:right="567"/>
        <w:textAlignment w:val="baseline"/>
        <w:rPr>
          <w:rFonts w:asciiTheme="majorBidi" w:hAnsiTheme="majorBidi" w:cstheme="majorBidi"/>
          <w:sz w:val="24"/>
          <w:u w:val="single"/>
        </w:rPr>
      </w:pPr>
      <w:r>
        <w:rPr>
          <w:rFonts w:asciiTheme="majorBidi" w:hAnsiTheme="majorBidi" w:cstheme="majorBidi"/>
          <w:sz w:val="24"/>
        </w:rPr>
        <w:t>The deadline for submitting the bids is 16:00 on 19 December 2018.</w:t>
      </w:r>
    </w:p>
    <w:p w:rsidR="00F975CB" w:rsidRPr="00455EC7" w:rsidRDefault="00455EC7" w:rsidP="00455EC7">
      <w:pPr>
        <w:widowControl/>
        <w:numPr>
          <w:ilvl w:val="0"/>
          <w:numId w:val="8"/>
        </w:numPr>
        <w:overflowPunct w:val="0"/>
        <w:autoSpaceDE w:val="0"/>
        <w:autoSpaceDN w:val="0"/>
        <w:bidi w:val="0"/>
        <w:adjustRightInd w:val="0"/>
        <w:spacing w:after="120"/>
        <w:ind w:right="567"/>
        <w:textAlignment w:val="baseline"/>
        <w:rPr>
          <w:rFonts w:asciiTheme="majorBidi" w:hAnsiTheme="majorBidi" w:cstheme="majorBidi"/>
          <w:sz w:val="24"/>
          <w:u w:val="single"/>
        </w:rPr>
      </w:pPr>
      <w:r>
        <w:rPr>
          <w:rFonts w:asciiTheme="majorBidi" w:hAnsiTheme="majorBidi" w:cstheme="majorBidi"/>
          <w:sz w:val="24"/>
        </w:rPr>
        <w:t>It is emphasized that in the event of a discrepancy between the conditions mentioned hereinabove and what is mentioned in the Tender Documents, the Tender Documents shall prevail.</w:t>
      </w:r>
    </w:p>
    <w:p w:rsidR="00455EC7" w:rsidRPr="00455EC7" w:rsidRDefault="00455EC7" w:rsidP="00455EC7">
      <w:pPr>
        <w:widowControl/>
        <w:overflowPunct w:val="0"/>
        <w:autoSpaceDE w:val="0"/>
        <w:autoSpaceDN w:val="0"/>
        <w:bidi w:val="0"/>
        <w:adjustRightInd w:val="0"/>
        <w:spacing w:after="120"/>
        <w:ind w:right="567"/>
        <w:textAlignment w:val="baseline"/>
        <w:rPr>
          <w:rFonts w:asciiTheme="majorBidi" w:hAnsiTheme="majorBidi" w:cstheme="majorBidi"/>
          <w:sz w:val="24"/>
          <w:u w:val="single"/>
        </w:rPr>
      </w:pPr>
    </w:p>
    <w:sectPr w:rsidR="00455EC7" w:rsidRPr="00455EC7" w:rsidSect="005C639D">
      <w:headerReference w:type="even" r:id="rId10"/>
      <w:headerReference w:type="default" r:id="rId11"/>
      <w:headerReference w:type="first" r:id="rId12"/>
      <w:footerReference w:type="first" r:id="rId13"/>
      <w:pgSz w:w="11906" w:h="16838"/>
      <w:pgMar w:top="1440" w:right="1080" w:bottom="1440" w:left="1080"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095E" w:rsidRDefault="0089095E">
      <w:r>
        <w:separator/>
      </w:r>
    </w:p>
  </w:endnote>
  <w:endnote w:type="continuationSeparator" w:id="0">
    <w:p w:rsidR="0089095E" w:rsidRDefault="008909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47428" w:rsidRDefault="00C542AB" w:rsidP="00447428">
    <w:pPr>
      <w:pStyle w:val="ab"/>
      <w:pBdr>
        <w:top w:val="single" w:sz="4" w:space="1" w:color="auto"/>
      </w:pBdr>
      <w:rPr>
        <w:rtl/>
      </w:rPr>
    </w:pPr>
    <w:r>
      <w:rPr>
        <w:rtl/>
      </w:rPr>
      <w:t xml:space="preserve">רח' קפלן 1 ירושלים </w:t>
    </w:r>
    <w:r>
      <w:rPr>
        <w:rFonts w:hint="cs"/>
        <w:rtl/>
      </w:rPr>
      <w:t>91030</w:t>
    </w:r>
    <w:r>
      <w:rPr>
        <w:rtl/>
      </w:rPr>
      <w:t xml:space="preserve"> ת.ד </w:t>
    </w:r>
    <w:r>
      <w:rPr>
        <w:rFonts w:hint="cs"/>
        <w:rtl/>
      </w:rPr>
      <w:t>3115</w:t>
    </w:r>
    <w:r>
      <w:rPr>
        <w:rtl/>
      </w:rPr>
      <w:t xml:space="preserve"> טל':</w:t>
    </w:r>
    <w:r>
      <w:rPr>
        <w:rFonts w:hint="cs"/>
        <w:rtl/>
      </w:rPr>
      <w:t xml:space="preserve"> 02-6663426 פקס: 02-5695368</w:t>
    </w:r>
    <w:r>
      <w:rPr>
        <w:rtl/>
      </w:rPr>
      <w:br/>
    </w:r>
    <w:r>
      <w:rPr>
        <w:rFonts w:hint="cs"/>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rtl/>
      </w:rPr>
      <w:tab/>
    </w:r>
    <w:r w:rsidRPr="002A005F">
      <w:rPr>
        <w:rFonts w:hint="cs"/>
        <w:noProof/>
        <w:rtl/>
      </w:rPr>
      <w:drawing>
        <wp:inline distT="0" distB="0" distL="0" distR="0">
          <wp:extent cx="445135" cy="286385"/>
          <wp:effectExtent l="0" t="0" r="0" b="0"/>
          <wp:docPr id="2" name="Picture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6385"/>
                  </a:xfrm>
                  <a:prstGeom prst="rect">
                    <a:avLst/>
                  </a:prstGeom>
                  <a:noFill/>
                  <a:ln>
                    <a:noFill/>
                  </a:ln>
                </pic:spPr>
              </pic:pic>
            </a:graphicData>
          </a:graphic>
        </wp:inline>
      </w:drawing>
    </w:r>
    <w:r>
      <w:rPr>
        <w:rFonts w:hint="cs"/>
        <w:rtl/>
      </w:rPr>
      <w:tab/>
      <w:t xml:space="preserve">חשכ"ל ברשת: </w:t>
    </w:r>
    <w:hyperlink r:id="rId3" w:history="1">
      <w:r w:rsidRPr="00B433D8">
        <w:rPr>
          <w:rStyle w:val="Hyperlink"/>
          <w:sz w:val="20"/>
          <w:szCs w:val="20"/>
        </w:rPr>
        <w:t>ag.mof.gov.il</w:t>
      </w:r>
    </w:hyperlink>
    <w:r>
      <w:rPr>
        <w:rFonts w:hint="cs"/>
        <w:rtl/>
      </w:rPr>
      <w:tab/>
    </w:r>
  </w:p>
  <w:p w:rsidR="00447428" w:rsidRPr="00447428" w:rsidRDefault="00C542AB" w:rsidP="00447428">
    <w:pPr>
      <w:pStyle w:val="ab"/>
      <w:pBdr>
        <w:top w:val="single" w:sz="4" w:space="1" w:color="auto"/>
      </w:pBdr>
    </w:pPr>
    <w:r>
      <w:rPr>
        <w:rFonts w:hint="cs"/>
        <w:rtl/>
      </w:rPr>
      <w:t xml:space="preserve">שער הממשלה: </w:t>
    </w:r>
    <w:hyperlink r:id="rId4" w:history="1">
      <w:r w:rsidRPr="00B433D8">
        <w:rPr>
          <w:rStyle w:val="Hyperlink"/>
          <w:sz w:val="20"/>
          <w:szCs w:val="20"/>
        </w:rPr>
        <w:t>www.gov.il</w:t>
      </w:r>
    </w:hyperlink>
    <w:r>
      <w:rPr>
        <w:rFonts w:hint="cs"/>
        <w:rtl/>
      </w:rPr>
      <w:tab/>
    </w:r>
    <w:r>
      <w:rPr>
        <w:rFonts w:hint="cs"/>
        <w:rtl/>
      </w:rPr>
      <w:tab/>
      <w:t>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095E" w:rsidRDefault="0089095E">
      <w:r>
        <w:separator/>
      </w:r>
    </w:p>
  </w:footnote>
  <w:footnote w:type="continuationSeparator" w:id="0">
    <w:p w:rsidR="0089095E" w:rsidRDefault="0089095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217F82" w:rsidP="00FC46AC">
    <w:pPr>
      <w:pStyle w:val="a8"/>
      <w:framePr w:wrap="around" w:vAnchor="text" w:hAnchor="text" w:xAlign="center" w:y="1"/>
      <w:rPr>
        <w:rStyle w:val="aa"/>
      </w:rPr>
    </w:pPr>
    <w:r>
      <w:rPr>
        <w:rStyle w:val="aa"/>
        <w:rtl/>
      </w:rPr>
      <w:fldChar w:fldCharType="begin"/>
    </w:r>
    <w:r w:rsidR="00C542AB">
      <w:rPr>
        <w:rStyle w:val="aa"/>
      </w:rPr>
      <w:instrText xml:space="preserve">PAGE  </w:instrText>
    </w:r>
    <w:r>
      <w:rPr>
        <w:rStyle w:val="aa"/>
        <w:rtl/>
      </w:rPr>
      <w:fldChar w:fldCharType="end"/>
    </w:r>
  </w:p>
  <w:p w:rsidR="00FC46AC" w:rsidRDefault="0089095E">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217F82" w:rsidP="00FC46AC">
    <w:pPr>
      <w:pStyle w:val="a8"/>
      <w:framePr w:wrap="around" w:vAnchor="text" w:hAnchor="text" w:xAlign="center" w:y="1"/>
      <w:rPr>
        <w:rStyle w:val="aa"/>
      </w:rPr>
    </w:pPr>
    <w:r>
      <w:rPr>
        <w:rStyle w:val="aa"/>
        <w:rtl/>
      </w:rPr>
      <w:fldChar w:fldCharType="begin"/>
    </w:r>
    <w:r w:rsidR="00C542AB">
      <w:rPr>
        <w:rStyle w:val="aa"/>
      </w:rPr>
      <w:instrText xml:space="preserve">PAGE  </w:instrText>
    </w:r>
    <w:r>
      <w:rPr>
        <w:rStyle w:val="aa"/>
        <w:rtl/>
      </w:rPr>
      <w:fldChar w:fldCharType="separate"/>
    </w:r>
    <w:r w:rsidR="002E7FBA">
      <w:rPr>
        <w:rStyle w:val="aa"/>
        <w:noProof/>
        <w:rtl/>
      </w:rPr>
      <w:t>2</w:t>
    </w:r>
    <w:r>
      <w:rPr>
        <w:rStyle w:val="aa"/>
        <w:rtl/>
      </w:rPr>
      <w:fldChar w:fldCharType="end"/>
    </w:r>
  </w:p>
  <w:p w:rsidR="00FC46AC" w:rsidRDefault="0089095E">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592" w:rsidRPr="0031748F" w:rsidRDefault="00C542AB" w:rsidP="00BB7D14">
    <w:pPr>
      <w:pStyle w:val="a8"/>
      <w:jc w:val="center"/>
      <w:rPr>
        <w:rFonts w:ascii="David" w:hAnsi="David" w:cs="David"/>
        <w:b/>
        <w:bCs/>
        <w:szCs w:val="32"/>
        <w:rtl/>
      </w:rPr>
    </w:pPr>
    <w:r w:rsidRPr="0031748F">
      <w:rPr>
        <w:rFonts w:ascii="David" w:hAnsi="David" w:cs="David"/>
        <w:noProof/>
      </w:rPr>
      <w:drawing>
        <wp:anchor distT="0" distB="0" distL="114300" distR="114300" simplePos="0" relativeHeight="251658752" behindDoc="1" locked="0" layoutInCell="1" allowOverlap="1">
          <wp:simplePos x="0" y="0"/>
          <wp:positionH relativeFrom="column">
            <wp:posOffset>5362575</wp:posOffset>
          </wp:positionH>
          <wp:positionV relativeFrom="paragraph">
            <wp:posOffset>-38100</wp:posOffset>
          </wp:positionV>
          <wp:extent cx="1047750" cy="504825"/>
          <wp:effectExtent l="0" t="0" r="0" b="9525"/>
          <wp:wrapNone/>
          <wp:docPr id="1" name="Picture 1"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sidRPr="0031748F">
      <w:rPr>
        <w:rFonts w:ascii="David" w:hAnsi="David" w:cs="David"/>
        <w:b/>
        <w:bCs/>
        <w:szCs w:val="40"/>
        <w:rtl/>
      </w:rPr>
      <w:t>מדינת ישראל</w:t>
    </w:r>
  </w:p>
  <w:p w:rsidR="00180592" w:rsidRPr="0031748F" w:rsidRDefault="00C542AB" w:rsidP="00BB7D14">
    <w:pPr>
      <w:pStyle w:val="a8"/>
      <w:jc w:val="center"/>
      <w:rPr>
        <w:rFonts w:ascii="David" w:hAnsi="David" w:cs="David"/>
        <w:rtl/>
      </w:rPr>
    </w:pPr>
    <w:r w:rsidRPr="0031748F">
      <w:rPr>
        <w:rFonts w:ascii="David" w:hAnsi="David" w:cs="David"/>
        <w:b/>
        <w:bCs/>
        <w:szCs w:val="32"/>
        <w:rtl/>
      </w:rPr>
      <w:t>משרד האוצר</w:t>
    </w:r>
  </w:p>
  <w:p w:rsidR="00180592" w:rsidRPr="0031748F" w:rsidRDefault="00C542AB" w:rsidP="00BB7D14">
    <w:pPr>
      <w:pStyle w:val="a8"/>
      <w:jc w:val="center"/>
      <w:rPr>
        <w:rFonts w:ascii="David" w:hAnsi="David" w:cs="David"/>
        <w:rtl/>
      </w:rPr>
    </w:pPr>
    <w:r w:rsidRPr="0031748F">
      <w:rPr>
        <w:rFonts w:ascii="David" w:hAnsi="David" w:cs="David"/>
        <w:b/>
        <w:bCs/>
        <w:rtl/>
      </w:rPr>
      <w:t>מינהל הרכש הממשלתי</w:t>
    </w:r>
  </w:p>
  <w:p w:rsidR="00180592" w:rsidRPr="0031748F" w:rsidRDefault="0089095E" w:rsidP="00BB7D14">
    <w:pPr>
      <w:pStyle w:val="a8"/>
      <w:jc w:val="center"/>
      <w:rPr>
        <w:rFonts w:ascii="David" w:hAnsi="David" w:cs="David"/>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3420A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24690D37"/>
    <w:multiLevelType w:val="multilevel"/>
    <w:tmpl w:val="2C7611E6"/>
    <w:numStyleLink w:val="-0"/>
  </w:abstractNum>
  <w:abstractNum w:abstractNumId="5" w15:restartNumberingAfterBreak="0">
    <w:nsid w:val="2ED85B22"/>
    <w:multiLevelType w:val="multilevel"/>
    <w:tmpl w:val="B4243824"/>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1708" w:hanging="432"/>
      </w:pPr>
      <w:rPr>
        <w:rFonts w:hint="default"/>
        <w:b/>
        <w:bCs/>
        <w:sz w:val="32"/>
        <w:szCs w:val="32"/>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center"/>
      <w:pPr>
        <w:ind w:left="1356"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145"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7" w15:restartNumberingAfterBreak="0">
    <w:nsid w:val="47472C46"/>
    <w:multiLevelType w:val="multilevel"/>
    <w:tmpl w:val="6F3492E2"/>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52C63965"/>
    <w:multiLevelType w:val="multilevel"/>
    <w:tmpl w:val="CB2CFB36"/>
    <w:numStyleLink w:val="-"/>
  </w:abstractNum>
  <w:abstractNum w:abstractNumId="1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260"/>
        </w:tabs>
        <w:ind w:left="126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num w:numId="1">
    <w:abstractNumId w:val="4"/>
  </w:num>
  <w:num w:numId="2">
    <w:abstractNumId w:val="10"/>
  </w:num>
  <w:num w:numId="3">
    <w:abstractNumId w:val="1"/>
  </w:num>
  <w:num w:numId="4">
    <w:abstractNumId w:val="2"/>
  </w:num>
  <w:num w:numId="5">
    <w:abstractNumId w:val="0"/>
  </w:num>
  <w:num w:numId="6">
    <w:abstractNumId w:val="8"/>
  </w:num>
  <w:num w:numId="7">
    <w:abstractNumId w:val="9"/>
  </w:num>
  <w:num w:numId="8">
    <w:abstractNumId w:val="3"/>
  </w:num>
  <w:num w:numId="9">
    <w:abstractNumId w:val="13"/>
  </w:num>
  <w:num w:numId="10">
    <w:abstractNumId w:val="12"/>
  </w:num>
  <w:num w:numId="11">
    <w:abstractNumId w:val="5"/>
  </w:num>
  <w:num w:numId="12">
    <w:abstractNumId w:val="6"/>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81F"/>
    <w:rsid w:val="00014182"/>
    <w:rsid w:val="00021EB5"/>
    <w:rsid w:val="00022867"/>
    <w:rsid w:val="000246A8"/>
    <w:rsid w:val="00035065"/>
    <w:rsid w:val="00047C97"/>
    <w:rsid w:val="00050990"/>
    <w:rsid w:val="000520B7"/>
    <w:rsid w:val="000568CE"/>
    <w:rsid w:val="000601F0"/>
    <w:rsid w:val="00066383"/>
    <w:rsid w:val="000665F3"/>
    <w:rsid w:val="000714B8"/>
    <w:rsid w:val="00093B9D"/>
    <w:rsid w:val="000A6904"/>
    <w:rsid w:val="000C04AE"/>
    <w:rsid w:val="000C4304"/>
    <w:rsid w:val="000D5CD0"/>
    <w:rsid w:val="000E3118"/>
    <w:rsid w:val="000E4201"/>
    <w:rsid w:val="000E504F"/>
    <w:rsid w:val="000E6098"/>
    <w:rsid w:val="000E632C"/>
    <w:rsid w:val="000F4C9C"/>
    <w:rsid w:val="0010326C"/>
    <w:rsid w:val="001032E7"/>
    <w:rsid w:val="001225F3"/>
    <w:rsid w:val="0015696D"/>
    <w:rsid w:val="001607A0"/>
    <w:rsid w:val="001611C6"/>
    <w:rsid w:val="00164B30"/>
    <w:rsid w:val="00175588"/>
    <w:rsid w:val="0018292D"/>
    <w:rsid w:val="001A7C42"/>
    <w:rsid w:val="001B39BA"/>
    <w:rsid w:val="001C4F6D"/>
    <w:rsid w:val="001D55DD"/>
    <w:rsid w:val="001E548A"/>
    <w:rsid w:val="00217777"/>
    <w:rsid w:val="00217F82"/>
    <w:rsid w:val="00222BA5"/>
    <w:rsid w:val="002566C4"/>
    <w:rsid w:val="00275887"/>
    <w:rsid w:val="00281ABD"/>
    <w:rsid w:val="002A54A3"/>
    <w:rsid w:val="002A7FEA"/>
    <w:rsid w:val="002C4A9F"/>
    <w:rsid w:val="002D56DC"/>
    <w:rsid w:val="002E38F4"/>
    <w:rsid w:val="002E7FBA"/>
    <w:rsid w:val="002F197C"/>
    <w:rsid w:val="0031748F"/>
    <w:rsid w:val="00321ACD"/>
    <w:rsid w:val="00325E01"/>
    <w:rsid w:val="00345016"/>
    <w:rsid w:val="00361114"/>
    <w:rsid w:val="003840FE"/>
    <w:rsid w:val="00393C6A"/>
    <w:rsid w:val="00396CA4"/>
    <w:rsid w:val="003A1D7A"/>
    <w:rsid w:val="003C3A5C"/>
    <w:rsid w:val="003C7069"/>
    <w:rsid w:val="003F1396"/>
    <w:rsid w:val="0040055E"/>
    <w:rsid w:val="00423D6A"/>
    <w:rsid w:val="00426E0E"/>
    <w:rsid w:val="004323EF"/>
    <w:rsid w:val="004410DE"/>
    <w:rsid w:val="0044663B"/>
    <w:rsid w:val="00451F2E"/>
    <w:rsid w:val="004523EB"/>
    <w:rsid w:val="00452D7A"/>
    <w:rsid w:val="00455EC7"/>
    <w:rsid w:val="004742D9"/>
    <w:rsid w:val="004747A8"/>
    <w:rsid w:val="00497B46"/>
    <w:rsid w:val="004C127D"/>
    <w:rsid w:val="004C2544"/>
    <w:rsid w:val="004C5538"/>
    <w:rsid w:val="004D65A1"/>
    <w:rsid w:val="004E479D"/>
    <w:rsid w:val="004E6326"/>
    <w:rsid w:val="004F3773"/>
    <w:rsid w:val="005028F9"/>
    <w:rsid w:val="00505D36"/>
    <w:rsid w:val="00515321"/>
    <w:rsid w:val="00515BEE"/>
    <w:rsid w:val="00515E5C"/>
    <w:rsid w:val="00516C50"/>
    <w:rsid w:val="00534452"/>
    <w:rsid w:val="005371D8"/>
    <w:rsid w:val="00556BE2"/>
    <w:rsid w:val="005757DF"/>
    <w:rsid w:val="00591CD7"/>
    <w:rsid w:val="005C639D"/>
    <w:rsid w:val="005D42E4"/>
    <w:rsid w:val="005E5BC5"/>
    <w:rsid w:val="005F1F75"/>
    <w:rsid w:val="00600BFA"/>
    <w:rsid w:val="00600F1F"/>
    <w:rsid w:val="006023EB"/>
    <w:rsid w:val="00602DAD"/>
    <w:rsid w:val="00604E65"/>
    <w:rsid w:val="006309B0"/>
    <w:rsid w:val="006454C0"/>
    <w:rsid w:val="00651791"/>
    <w:rsid w:val="00661B8F"/>
    <w:rsid w:val="0066664E"/>
    <w:rsid w:val="00666944"/>
    <w:rsid w:val="00692C69"/>
    <w:rsid w:val="00692C7F"/>
    <w:rsid w:val="006952CA"/>
    <w:rsid w:val="006A13C9"/>
    <w:rsid w:val="006A2503"/>
    <w:rsid w:val="006A5446"/>
    <w:rsid w:val="006B194F"/>
    <w:rsid w:val="006B352E"/>
    <w:rsid w:val="006C55AF"/>
    <w:rsid w:val="006D0744"/>
    <w:rsid w:val="006D614C"/>
    <w:rsid w:val="006D686D"/>
    <w:rsid w:val="006E44F6"/>
    <w:rsid w:val="006E5942"/>
    <w:rsid w:val="00702960"/>
    <w:rsid w:val="00706164"/>
    <w:rsid w:val="007173B4"/>
    <w:rsid w:val="00727621"/>
    <w:rsid w:val="00734BF2"/>
    <w:rsid w:val="00735D55"/>
    <w:rsid w:val="00743847"/>
    <w:rsid w:val="00751B50"/>
    <w:rsid w:val="00757313"/>
    <w:rsid w:val="00757879"/>
    <w:rsid w:val="007611DA"/>
    <w:rsid w:val="007615A6"/>
    <w:rsid w:val="007706FD"/>
    <w:rsid w:val="0077320E"/>
    <w:rsid w:val="00793E5C"/>
    <w:rsid w:val="00794C33"/>
    <w:rsid w:val="007A1FE9"/>
    <w:rsid w:val="007A373A"/>
    <w:rsid w:val="007C0F28"/>
    <w:rsid w:val="007D4118"/>
    <w:rsid w:val="007E2692"/>
    <w:rsid w:val="0080160A"/>
    <w:rsid w:val="00807CD9"/>
    <w:rsid w:val="0081525B"/>
    <w:rsid w:val="00817A38"/>
    <w:rsid w:val="0082739B"/>
    <w:rsid w:val="00864DB3"/>
    <w:rsid w:val="00867AE5"/>
    <w:rsid w:val="00870D8A"/>
    <w:rsid w:val="00885818"/>
    <w:rsid w:val="0089095E"/>
    <w:rsid w:val="008B39D7"/>
    <w:rsid w:val="008B68FA"/>
    <w:rsid w:val="008E77BE"/>
    <w:rsid w:val="008F3AF0"/>
    <w:rsid w:val="00910BC9"/>
    <w:rsid w:val="00915C9A"/>
    <w:rsid w:val="00935E81"/>
    <w:rsid w:val="00937F9D"/>
    <w:rsid w:val="00954F41"/>
    <w:rsid w:val="009601DA"/>
    <w:rsid w:val="00985B2B"/>
    <w:rsid w:val="00986444"/>
    <w:rsid w:val="00990A24"/>
    <w:rsid w:val="009A0BDA"/>
    <w:rsid w:val="009B64FE"/>
    <w:rsid w:val="009E52B5"/>
    <w:rsid w:val="009F7F7A"/>
    <w:rsid w:val="00A15876"/>
    <w:rsid w:val="00A15D5D"/>
    <w:rsid w:val="00A30921"/>
    <w:rsid w:val="00A31F14"/>
    <w:rsid w:val="00A56269"/>
    <w:rsid w:val="00A5751E"/>
    <w:rsid w:val="00A67A4F"/>
    <w:rsid w:val="00A7396A"/>
    <w:rsid w:val="00A73972"/>
    <w:rsid w:val="00A8234D"/>
    <w:rsid w:val="00A84333"/>
    <w:rsid w:val="00A84658"/>
    <w:rsid w:val="00AA0396"/>
    <w:rsid w:val="00AA4752"/>
    <w:rsid w:val="00AB381F"/>
    <w:rsid w:val="00AD0167"/>
    <w:rsid w:val="00AF1C47"/>
    <w:rsid w:val="00B03E2B"/>
    <w:rsid w:val="00B041F7"/>
    <w:rsid w:val="00B156C1"/>
    <w:rsid w:val="00B311D4"/>
    <w:rsid w:val="00B350DC"/>
    <w:rsid w:val="00B429D7"/>
    <w:rsid w:val="00B60EE6"/>
    <w:rsid w:val="00B62D00"/>
    <w:rsid w:val="00B67385"/>
    <w:rsid w:val="00B739F9"/>
    <w:rsid w:val="00B93390"/>
    <w:rsid w:val="00B93A25"/>
    <w:rsid w:val="00B9593A"/>
    <w:rsid w:val="00BA4D74"/>
    <w:rsid w:val="00BB393A"/>
    <w:rsid w:val="00BB7D14"/>
    <w:rsid w:val="00BC01C7"/>
    <w:rsid w:val="00BC1025"/>
    <w:rsid w:val="00BD1F8E"/>
    <w:rsid w:val="00BD626C"/>
    <w:rsid w:val="00BD67E7"/>
    <w:rsid w:val="00BE33D3"/>
    <w:rsid w:val="00C01906"/>
    <w:rsid w:val="00C148A1"/>
    <w:rsid w:val="00C171DC"/>
    <w:rsid w:val="00C26CD3"/>
    <w:rsid w:val="00C27AC8"/>
    <w:rsid w:val="00C3707B"/>
    <w:rsid w:val="00C37F33"/>
    <w:rsid w:val="00C542AB"/>
    <w:rsid w:val="00C606E1"/>
    <w:rsid w:val="00C67852"/>
    <w:rsid w:val="00C67DB3"/>
    <w:rsid w:val="00C84ABA"/>
    <w:rsid w:val="00C86A0C"/>
    <w:rsid w:val="00C929BC"/>
    <w:rsid w:val="00CA61AF"/>
    <w:rsid w:val="00CB40A4"/>
    <w:rsid w:val="00CB6C24"/>
    <w:rsid w:val="00CC356E"/>
    <w:rsid w:val="00CD6DB8"/>
    <w:rsid w:val="00CE0517"/>
    <w:rsid w:val="00CF05B3"/>
    <w:rsid w:val="00CF44BB"/>
    <w:rsid w:val="00D12002"/>
    <w:rsid w:val="00D16E62"/>
    <w:rsid w:val="00D33979"/>
    <w:rsid w:val="00D66453"/>
    <w:rsid w:val="00D731DA"/>
    <w:rsid w:val="00D969C1"/>
    <w:rsid w:val="00DB2BE7"/>
    <w:rsid w:val="00DB421A"/>
    <w:rsid w:val="00DD5320"/>
    <w:rsid w:val="00DE069A"/>
    <w:rsid w:val="00DE7CC8"/>
    <w:rsid w:val="00DF73FF"/>
    <w:rsid w:val="00E41B31"/>
    <w:rsid w:val="00E56588"/>
    <w:rsid w:val="00E834FF"/>
    <w:rsid w:val="00E95EEF"/>
    <w:rsid w:val="00EA6729"/>
    <w:rsid w:val="00EC1CF3"/>
    <w:rsid w:val="00EC303E"/>
    <w:rsid w:val="00EE6B33"/>
    <w:rsid w:val="00EF71D7"/>
    <w:rsid w:val="00F00D41"/>
    <w:rsid w:val="00F0592A"/>
    <w:rsid w:val="00F205D1"/>
    <w:rsid w:val="00F25ABF"/>
    <w:rsid w:val="00F509E4"/>
    <w:rsid w:val="00F54980"/>
    <w:rsid w:val="00F74EF7"/>
    <w:rsid w:val="00F80DA7"/>
    <w:rsid w:val="00F86895"/>
    <w:rsid w:val="00F929D5"/>
    <w:rsid w:val="00F975CB"/>
    <w:rsid w:val="00FC6687"/>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19D588A0-3400-49A8-B651-9B14041F88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B381F"/>
    <w:pPr>
      <w:widowControl w:val="0"/>
      <w:bidi/>
      <w:spacing w:before="0" w:after="0" w:line="240" w:lineRule="auto"/>
    </w:pPr>
    <w:rPr>
      <w:rFonts w:ascii="Times New Roman" w:eastAsia="Times New Roman" w:hAnsi="Times New Roman" w:cs="FrankRuehl"/>
      <w:sz w:val="26"/>
      <w:szCs w:val="24"/>
    </w:rPr>
  </w:style>
  <w:style w:type="paragraph" w:styleId="1">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Header1,גוטמן"/>
    <w:basedOn w:val="a"/>
    <w:next w:val="a"/>
    <w:link w:val="10"/>
    <w:qFormat/>
    <w:rsid w:val="003A1D7A"/>
    <w:pPr>
      <w:outlineLvl w:val="0"/>
    </w:pPr>
    <w:rPr>
      <w:b/>
      <w:bCs/>
      <w:caps/>
      <w:spacing w:val="15"/>
      <w:sz w:val="36"/>
      <w:szCs w:val="36"/>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unhideWhenUsed/>
    <w:qFormat/>
    <w:rsid w:val="003A1D7A"/>
    <w:pPr>
      <w:outlineLvl w:val="1"/>
    </w:pPr>
    <w:rPr>
      <w:b/>
      <w:bCs/>
      <w:caps/>
      <w:spacing w:val="15"/>
      <w:sz w:val="32"/>
      <w:szCs w:val="32"/>
    </w:rPr>
  </w:style>
  <w:style w:type="paragraph" w:styleId="3">
    <w:name w:val="heading 3"/>
    <w:basedOn w:val="a"/>
    <w:next w:val="a"/>
    <w:link w:val="30"/>
    <w:uiPriority w:val="9"/>
    <w:unhideWhenUsed/>
    <w:qFormat/>
    <w:rsid w:val="001611C6"/>
    <w:pPr>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bidi w:val="0"/>
      <w:spacing w:before="300"/>
      <w:outlineLvl w:val="4"/>
    </w:pPr>
    <w:rPr>
      <w:b/>
      <w:bCs/>
      <w:caps/>
      <w:spacing w:val="10"/>
    </w:rPr>
  </w:style>
  <w:style w:type="paragraph" w:styleId="6">
    <w:name w:val="heading 6"/>
    <w:basedOn w:val="a"/>
    <w:next w:val="a"/>
    <w:link w:val="60"/>
    <w:uiPriority w:val="9"/>
    <w:unhideWhenUsed/>
    <w:qFormat/>
    <w:rsid w:val="00066383"/>
    <w:pPr>
      <w:bidi w:val="0"/>
      <w:spacing w:before="300"/>
      <w:outlineLvl w:val="5"/>
    </w:pPr>
    <w:rPr>
      <w:b/>
      <w:bCs/>
      <w:caps/>
      <w:spacing w:val="10"/>
    </w:rPr>
  </w:style>
  <w:style w:type="paragraph" w:styleId="7">
    <w:name w:val="heading 7"/>
    <w:basedOn w:val="a"/>
    <w:next w:val="a"/>
    <w:link w:val="70"/>
    <w:uiPriority w:val="9"/>
    <w:unhideWhenUsed/>
    <w:qFormat/>
    <w:rsid w:val="003A1D7A"/>
    <w:pPr>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tabs>
        <w:tab w:val="right" w:leader="dot" w:pos="8296"/>
      </w:tabs>
      <w:spacing w:before="100" w:after="100"/>
      <w:ind w:left="482"/>
    </w:pPr>
  </w:style>
  <w:style w:type="paragraph" w:styleId="TOC1">
    <w:name w:val="toc 1"/>
    <w:basedOn w:val="a"/>
    <w:next w:val="a"/>
    <w:autoRedefine/>
    <w:uiPriority w:val="39"/>
    <w:unhideWhenUsed/>
    <w:rsid w:val="00600BFA"/>
    <w:pPr>
      <w:tabs>
        <w:tab w:val="right" w:leader="dot" w:pos="8296"/>
      </w:tabs>
      <w:spacing w:before="100" w:after="100"/>
    </w:pPr>
  </w:style>
  <w:style w:type="paragraph" w:styleId="TOC2">
    <w:name w:val="toc 2"/>
    <w:basedOn w:val="a"/>
    <w:next w:val="a"/>
    <w:autoRedefine/>
    <w:uiPriority w:val="39"/>
    <w:unhideWhenUsed/>
    <w:rsid w:val="00600BFA"/>
    <w:pPr>
      <w:tabs>
        <w:tab w:val="right" w:leader="dot" w:pos="8296"/>
      </w:tabs>
      <w:spacing w:before="100" w:after="100"/>
      <w:ind w:left="238"/>
    </w:pPr>
  </w:style>
  <w:style w:type="paragraph" w:styleId="TOC7">
    <w:name w:val="toc 7"/>
    <w:basedOn w:val="a"/>
    <w:next w:val="a"/>
    <w:autoRedefine/>
    <w:uiPriority w:val="39"/>
    <w:unhideWhenUsed/>
    <w:rsid w:val="00600BFA"/>
    <w:pPr>
      <w:tabs>
        <w:tab w:val="right" w:leader="dot" w:pos="8296"/>
      </w:tabs>
      <w:spacing w:before="100" w:after="100"/>
      <w:ind w:left="1440"/>
    </w:pPr>
  </w:style>
  <w:style w:type="paragraph" w:styleId="TOC6">
    <w:name w:val="toc 6"/>
    <w:basedOn w:val="a"/>
    <w:next w:val="a"/>
    <w:autoRedefine/>
    <w:uiPriority w:val="39"/>
    <w:unhideWhenUsed/>
    <w:rsid w:val="00600BFA"/>
    <w:pPr>
      <w:tabs>
        <w:tab w:val="right" w:leader="dot" w:pos="8296"/>
      </w:tabs>
      <w:spacing w:before="100" w:after="100"/>
      <w:ind w:left="1202"/>
      <w:contextualSpacing/>
    </w:pPr>
  </w:style>
  <w:style w:type="paragraph" w:styleId="TOC5">
    <w:name w:val="toc 5"/>
    <w:basedOn w:val="a"/>
    <w:next w:val="a"/>
    <w:autoRedefine/>
    <w:uiPriority w:val="39"/>
    <w:unhideWhenUsed/>
    <w:rsid w:val="00600BFA"/>
    <w:pPr>
      <w:tabs>
        <w:tab w:val="right" w:leader="dot" w:pos="8296"/>
      </w:tabs>
      <w:spacing w:before="100" w:after="100"/>
      <w:ind w:left="958"/>
    </w:pPr>
  </w:style>
  <w:style w:type="paragraph" w:styleId="TOC4">
    <w:name w:val="toc 4"/>
    <w:basedOn w:val="a"/>
    <w:next w:val="a"/>
    <w:autoRedefine/>
    <w:uiPriority w:val="39"/>
    <w:unhideWhenUsed/>
    <w:rsid w:val="00600BFA"/>
    <w:pPr>
      <w:spacing w:before="100" w:after="100"/>
      <w:ind w:left="720"/>
    </w:pPr>
  </w:style>
  <w:style w:type="paragraph" w:styleId="a7">
    <w:name w:val="List Paragraph"/>
    <w:basedOn w:val="a"/>
    <w:uiPriority w:val="34"/>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AB381F"/>
    <w:pPr>
      <w:tabs>
        <w:tab w:val="center" w:pos="4153"/>
        <w:tab w:val="right" w:pos="8306"/>
      </w:tabs>
    </w:pPr>
    <w:rPr>
      <w:sz w:val="24"/>
    </w:rPr>
  </w:style>
  <w:style w:type="character" w:customStyle="1" w:styleId="a9">
    <w:name w:val="כותרת עליונה תו"/>
    <w:basedOn w:val="a0"/>
    <w:link w:val="a8"/>
    <w:rsid w:val="00AB381F"/>
    <w:rPr>
      <w:rFonts w:ascii="Times New Roman" w:eastAsia="Times New Roman" w:hAnsi="Times New Roman" w:cs="FrankRuehl"/>
      <w:sz w:val="24"/>
      <w:szCs w:val="24"/>
    </w:rPr>
  </w:style>
  <w:style w:type="character" w:styleId="aa">
    <w:name w:val="page number"/>
    <w:basedOn w:val="a0"/>
    <w:rsid w:val="00AB381F"/>
  </w:style>
  <w:style w:type="paragraph" w:styleId="ab">
    <w:name w:val="footer"/>
    <w:basedOn w:val="a"/>
    <w:link w:val="ac"/>
    <w:unhideWhenUsed/>
    <w:rsid w:val="00AB381F"/>
    <w:pPr>
      <w:tabs>
        <w:tab w:val="center" w:pos="4153"/>
        <w:tab w:val="right" w:pos="8306"/>
      </w:tabs>
    </w:pPr>
  </w:style>
  <w:style w:type="character" w:customStyle="1" w:styleId="ac">
    <w:name w:val="כותרת תחתונה תו"/>
    <w:basedOn w:val="a0"/>
    <w:link w:val="ab"/>
    <w:rsid w:val="00AB381F"/>
    <w:rPr>
      <w:rFonts w:ascii="Times New Roman" w:eastAsia="Times New Roman" w:hAnsi="Times New Roman" w:cs="FrankRuehl"/>
      <w:sz w:val="26"/>
      <w:szCs w:val="24"/>
    </w:rPr>
  </w:style>
  <w:style w:type="character" w:styleId="Hyperlink">
    <w:name w:val="Hyperlink"/>
    <w:rsid w:val="00AB381F"/>
    <w:rPr>
      <w:color w:val="0000FF"/>
      <w:u w:val="single"/>
    </w:rPr>
  </w:style>
  <w:style w:type="paragraph" w:styleId="ad">
    <w:name w:val="Balloon Text"/>
    <w:basedOn w:val="a"/>
    <w:link w:val="ae"/>
    <w:uiPriority w:val="99"/>
    <w:semiHidden/>
    <w:unhideWhenUsed/>
    <w:rsid w:val="00AB381F"/>
    <w:rPr>
      <w:rFonts w:ascii="Tahoma" w:hAnsi="Tahoma" w:cs="Tahoma"/>
      <w:sz w:val="16"/>
      <w:szCs w:val="16"/>
    </w:rPr>
  </w:style>
  <w:style w:type="character" w:customStyle="1" w:styleId="ae">
    <w:name w:val="טקסט בלונים תו"/>
    <w:basedOn w:val="a0"/>
    <w:link w:val="ad"/>
    <w:uiPriority w:val="99"/>
    <w:semiHidden/>
    <w:rsid w:val="00AB381F"/>
    <w:rPr>
      <w:rFonts w:ascii="Tahoma" w:eastAsia="Times New Roman" w:hAnsi="Tahoma" w:cs="Tahoma"/>
      <w:sz w:val="16"/>
      <w:szCs w:val="16"/>
    </w:rPr>
  </w:style>
  <w:style w:type="paragraph" w:customStyle="1" w:styleId="41">
    <w:name w:val="ממוספר 4"/>
    <w:basedOn w:val="a"/>
    <w:link w:val="42"/>
    <w:qFormat/>
    <w:rsid w:val="00D16E62"/>
    <w:pPr>
      <w:widowControl/>
      <w:tabs>
        <w:tab w:val="left" w:pos="1759"/>
        <w:tab w:val="left" w:pos="1901"/>
      </w:tabs>
      <w:snapToGrid w:val="0"/>
      <w:spacing w:before="240" w:after="240" w:line="360" w:lineRule="auto"/>
      <w:ind w:left="1356" w:hanging="648"/>
      <w:outlineLvl w:val="1"/>
    </w:pPr>
    <w:rPr>
      <w:rFonts w:cs="David"/>
      <w:color w:val="000000"/>
      <w:sz w:val="24"/>
    </w:rPr>
  </w:style>
  <w:style w:type="paragraph" w:customStyle="1" w:styleId="31">
    <w:name w:val="כותרת 3 חדש"/>
    <w:basedOn w:val="a"/>
    <w:next w:val="a"/>
    <w:qFormat/>
    <w:rsid w:val="00D16E62"/>
    <w:pPr>
      <w:widowControl/>
      <w:tabs>
        <w:tab w:val="left" w:pos="1901"/>
      </w:tabs>
      <w:spacing w:before="240" w:after="240"/>
      <w:ind w:left="1224" w:hanging="504"/>
      <w:jc w:val="both"/>
      <w:outlineLvl w:val="1"/>
    </w:pPr>
    <w:rPr>
      <w:rFonts w:cs="David"/>
      <w:b/>
      <w:bCs/>
      <w:sz w:val="32"/>
      <w:szCs w:val="32"/>
    </w:rPr>
  </w:style>
  <w:style w:type="character" w:customStyle="1" w:styleId="42">
    <w:name w:val="ממוספר 4 תו"/>
    <w:link w:val="41"/>
    <w:rsid w:val="00D16E62"/>
    <w:rPr>
      <w:rFonts w:ascii="Times New Roman" w:eastAsia="Times New Roman" w:hAnsi="Times New Roman" w:cs="David"/>
      <w:color w:val="000000"/>
      <w:sz w:val="24"/>
      <w:szCs w:val="24"/>
    </w:rPr>
  </w:style>
  <w:style w:type="paragraph" w:customStyle="1" w:styleId="51">
    <w:name w:val="ממוספר 5 תו תו תו תו תו"/>
    <w:basedOn w:val="41"/>
    <w:qFormat/>
    <w:rsid w:val="00D16E62"/>
    <w:pPr>
      <w:tabs>
        <w:tab w:val="clear" w:pos="1759"/>
        <w:tab w:val="num" w:pos="360"/>
        <w:tab w:val="left" w:pos="2468"/>
      </w:tabs>
      <w:jc w:val="both"/>
    </w:pPr>
    <w:rPr>
      <w:noProof/>
      <w:lang w:eastAsia="he-IL"/>
    </w:rPr>
  </w:style>
  <w:style w:type="paragraph" w:customStyle="1" w:styleId="AlphaList1">
    <w:name w:val="Alpha List 1"/>
    <w:basedOn w:val="a"/>
    <w:uiPriority w:val="99"/>
    <w:rsid w:val="00D16E62"/>
    <w:pPr>
      <w:widowControl/>
      <w:numPr>
        <w:numId w:val="10"/>
      </w:numPr>
      <w:spacing w:before="120" w:line="320" w:lineRule="exact"/>
      <w:ind w:right="0"/>
      <w:jc w:val="both"/>
    </w:pPr>
    <w:rPr>
      <w:rFonts w:cs="David"/>
      <w:sz w:val="22"/>
      <w:lang w:eastAsia="he-IL"/>
    </w:rPr>
  </w:style>
  <w:style w:type="paragraph" w:customStyle="1" w:styleId="0-">
    <w:name w:val="0 - נספח"/>
    <w:basedOn w:val="1"/>
    <w:link w:val="0-Char"/>
    <w:qFormat/>
    <w:rsid w:val="000C4304"/>
    <w:pPr>
      <w:keepNext/>
      <w:pageBreakBefore/>
      <w:widowControl/>
      <w:tabs>
        <w:tab w:val="left" w:pos="283"/>
      </w:tabs>
      <w:spacing w:before="240" w:after="240" w:line="360" w:lineRule="auto"/>
      <w:ind w:left="360"/>
      <w:jc w:val="center"/>
    </w:pPr>
    <w:rPr>
      <w:rFonts w:cs="David"/>
      <w:spacing w:val="0"/>
      <w:kern w:val="40"/>
      <w:sz w:val="28"/>
      <w:szCs w:val="28"/>
      <w:u w:val="single"/>
    </w:rPr>
  </w:style>
  <w:style w:type="character" w:customStyle="1" w:styleId="0-Char">
    <w:name w:val="0 - נספח Char"/>
    <w:basedOn w:val="a0"/>
    <w:link w:val="0-"/>
    <w:rsid w:val="000C4304"/>
    <w:rPr>
      <w:rFonts w:ascii="Times New Roman" w:eastAsia="Times New Roman" w:hAnsi="Times New Roman" w:cs="David"/>
      <w:b/>
      <w:bCs/>
      <w:caps/>
      <w:kern w:val="40"/>
      <w:sz w:val="28"/>
      <w:szCs w:val="28"/>
      <w:u w:val="single"/>
    </w:rPr>
  </w:style>
  <w:style w:type="character" w:styleId="af">
    <w:name w:val="annotation reference"/>
    <w:basedOn w:val="a0"/>
    <w:uiPriority w:val="99"/>
    <w:semiHidden/>
    <w:unhideWhenUsed/>
    <w:rsid w:val="00516C50"/>
    <w:rPr>
      <w:sz w:val="16"/>
      <w:szCs w:val="16"/>
    </w:rPr>
  </w:style>
  <w:style w:type="paragraph" w:styleId="af0">
    <w:name w:val="annotation text"/>
    <w:basedOn w:val="a"/>
    <w:link w:val="af1"/>
    <w:uiPriority w:val="99"/>
    <w:semiHidden/>
    <w:unhideWhenUsed/>
    <w:rsid w:val="00516C50"/>
    <w:rPr>
      <w:sz w:val="20"/>
      <w:szCs w:val="20"/>
    </w:rPr>
  </w:style>
  <w:style w:type="character" w:customStyle="1" w:styleId="af1">
    <w:name w:val="טקסט הערה תו"/>
    <w:basedOn w:val="a0"/>
    <w:link w:val="af0"/>
    <w:uiPriority w:val="99"/>
    <w:semiHidden/>
    <w:rsid w:val="00516C50"/>
    <w:rPr>
      <w:rFonts w:ascii="Times New Roman" w:eastAsia="Times New Roman" w:hAnsi="Times New Roman" w:cs="FrankRuehl"/>
      <w:sz w:val="20"/>
      <w:szCs w:val="20"/>
    </w:rPr>
  </w:style>
  <w:style w:type="paragraph" w:styleId="af2">
    <w:name w:val="annotation subject"/>
    <w:basedOn w:val="af0"/>
    <w:next w:val="af0"/>
    <w:link w:val="af3"/>
    <w:uiPriority w:val="99"/>
    <w:semiHidden/>
    <w:unhideWhenUsed/>
    <w:rsid w:val="00516C50"/>
    <w:rPr>
      <w:b/>
      <w:bCs/>
    </w:rPr>
  </w:style>
  <w:style w:type="character" w:customStyle="1" w:styleId="af3">
    <w:name w:val="נושא הערה תו"/>
    <w:basedOn w:val="af1"/>
    <w:link w:val="af2"/>
    <w:uiPriority w:val="99"/>
    <w:semiHidden/>
    <w:rsid w:val="00516C50"/>
    <w:rPr>
      <w:rFonts w:ascii="Times New Roman" w:eastAsia="Times New Roman" w:hAnsi="Times New Roman" w:cs="FrankRuehl"/>
      <w:b/>
      <w:bCs/>
      <w:sz w:val="20"/>
      <w:szCs w:val="20"/>
    </w:rPr>
  </w:style>
  <w:style w:type="paragraph" w:customStyle="1" w:styleId="2-">
    <w:name w:val="2 - סעיף"/>
    <w:basedOn w:val="a7"/>
    <w:qFormat/>
    <w:rsid w:val="00661B8F"/>
    <w:pPr>
      <w:widowControl/>
      <w:numPr>
        <w:ilvl w:val="1"/>
        <w:numId w:val="14"/>
      </w:numPr>
      <w:spacing w:after="120" w:line="360" w:lineRule="auto"/>
      <w:jc w:val="both"/>
      <w:outlineLvl w:val="1"/>
    </w:pPr>
    <w:rPr>
      <w:rFonts w:eastAsiaTheme="minorHAnsi" w:cs="David"/>
      <w:sz w:val="22"/>
    </w:rPr>
  </w:style>
  <w:style w:type="paragraph" w:customStyle="1" w:styleId="1-">
    <w:name w:val="1 - כותרת"/>
    <w:qFormat/>
    <w:rsid w:val="00661B8F"/>
    <w:pPr>
      <w:numPr>
        <w:numId w:val="14"/>
      </w:numPr>
      <w:spacing w:before="0" w:after="360" w:line="360" w:lineRule="auto"/>
      <w:jc w:val="center"/>
      <w:outlineLvl w:val="0"/>
    </w:pPr>
    <w:rPr>
      <w:rFonts w:ascii="Times New Roman" w:hAnsi="Times New Roman" w:cs="David"/>
      <w:b/>
      <w:bCs/>
      <w:sz w:val="40"/>
      <w:szCs w:val="40"/>
    </w:rPr>
  </w:style>
  <w:style w:type="paragraph" w:customStyle="1" w:styleId="3-">
    <w:name w:val="3 - סעיף"/>
    <w:basedOn w:val="a"/>
    <w:qFormat/>
    <w:rsid w:val="00661B8F"/>
    <w:pPr>
      <w:widowControl/>
      <w:numPr>
        <w:ilvl w:val="2"/>
        <w:numId w:val="14"/>
      </w:numPr>
      <w:spacing w:after="120" w:line="360" w:lineRule="auto"/>
      <w:ind w:left="1048" w:hanging="708"/>
      <w:jc w:val="both"/>
      <w:outlineLvl w:val="2"/>
    </w:pPr>
    <w:rPr>
      <w:rFonts w:eastAsiaTheme="minorHAnsi" w:cs="David"/>
      <w:noProof/>
      <w:sz w:val="24"/>
    </w:rPr>
  </w:style>
  <w:style w:type="paragraph" w:customStyle="1" w:styleId="4-">
    <w:name w:val="4 - סעיף"/>
    <w:basedOn w:val="a"/>
    <w:link w:val="4-Char"/>
    <w:qFormat/>
    <w:rsid w:val="00661B8F"/>
    <w:pPr>
      <w:widowControl/>
      <w:numPr>
        <w:ilvl w:val="3"/>
        <w:numId w:val="14"/>
      </w:numPr>
      <w:spacing w:after="120" w:line="360" w:lineRule="auto"/>
      <w:ind w:hanging="821"/>
      <w:jc w:val="both"/>
      <w:outlineLvl w:val="3"/>
    </w:pPr>
    <w:rPr>
      <w:rFonts w:eastAsiaTheme="minorHAnsi" w:cs="David"/>
      <w:sz w:val="22"/>
    </w:rPr>
  </w:style>
  <w:style w:type="character" w:customStyle="1" w:styleId="4-Char">
    <w:name w:val="4 - סעיף Char"/>
    <w:link w:val="4-"/>
    <w:rsid w:val="00661B8F"/>
    <w:rPr>
      <w:rFonts w:ascii="Times New Roman" w:hAnsi="Times New Roman" w:cs="David"/>
      <w:szCs w:val="24"/>
    </w:rPr>
  </w:style>
  <w:style w:type="paragraph" w:customStyle="1" w:styleId="5-">
    <w:name w:val="5 - סעיף"/>
    <w:basedOn w:val="a"/>
    <w:qFormat/>
    <w:rsid w:val="00661B8F"/>
    <w:pPr>
      <w:widowControl/>
      <w:numPr>
        <w:ilvl w:val="4"/>
        <w:numId w:val="14"/>
      </w:numPr>
      <w:spacing w:after="120" w:line="360" w:lineRule="auto"/>
      <w:ind w:left="2608" w:hanging="1168"/>
      <w:jc w:val="both"/>
      <w:outlineLvl w:val="4"/>
    </w:pPr>
    <w:rPr>
      <w:rFonts w:ascii="David" w:eastAsiaTheme="minorHAnsi" w:hAnsi="David" w:cs="David"/>
      <w:sz w:val="24"/>
    </w:rPr>
  </w:style>
  <w:style w:type="paragraph" w:customStyle="1" w:styleId="6-">
    <w:name w:val="6 - סעיף"/>
    <w:basedOn w:val="a"/>
    <w:qFormat/>
    <w:rsid w:val="00661B8F"/>
    <w:pPr>
      <w:widowControl/>
      <w:numPr>
        <w:ilvl w:val="5"/>
        <w:numId w:val="14"/>
      </w:numPr>
      <w:spacing w:after="120" w:line="360" w:lineRule="auto"/>
      <w:jc w:val="both"/>
      <w:outlineLvl w:val="5"/>
    </w:pPr>
    <w:rPr>
      <w:rFonts w:ascii="David" w:eastAsiaTheme="minorHAnsi" w:hAnsi="David" w:cs="David"/>
      <w:sz w:val="24"/>
    </w:rPr>
  </w:style>
  <w:style w:type="paragraph" w:customStyle="1" w:styleId="7-">
    <w:name w:val="7 - סעיף"/>
    <w:basedOn w:val="a"/>
    <w:qFormat/>
    <w:rsid w:val="00661B8F"/>
    <w:pPr>
      <w:widowControl/>
      <w:numPr>
        <w:ilvl w:val="6"/>
        <w:numId w:val="14"/>
      </w:numPr>
      <w:spacing w:after="120" w:line="360" w:lineRule="auto"/>
      <w:jc w:val="both"/>
      <w:outlineLvl w:val="6"/>
    </w:pPr>
    <w:rPr>
      <w:rFonts w:ascii="David" w:eastAsiaTheme="minorHAnsi" w:hAnsi="David" w:cs="David"/>
      <w:sz w:val="24"/>
    </w:rPr>
  </w:style>
  <w:style w:type="paragraph" w:customStyle="1" w:styleId="8-">
    <w:name w:val="8 - סעיף"/>
    <w:basedOn w:val="7-"/>
    <w:qFormat/>
    <w:rsid w:val="00661B8F"/>
    <w:pPr>
      <w:numPr>
        <w:ilvl w:val="7"/>
      </w:numPr>
      <w:outlineLvl w:val="7"/>
    </w:pPr>
    <w:rPr>
      <w:rFonts w:ascii="Times New Roman" w:hAnsi="Times New Roman"/>
      <w:sz w:val="22"/>
    </w:rPr>
  </w:style>
  <w:style w:type="character" w:styleId="FollowedHyperlink">
    <w:name w:val="FollowedHyperlink"/>
    <w:basedOn w:val="a0"/>
    <w:uiPriority w:val="99"/>
    <w:semiHidden/>
    <w:unhideWhenUsed/>
    <w:rsid w:val="000246A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6772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CentralTenders/network/Pages/6-2018.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Ct_6_2018@mof.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2.jpeg"/><Relationship Id="rId1" Type="http://schemas.openxmlformats.org/officeDocument/2006/relationships/hyperlink" Target="http://www.mof.gov.il" TargetMode="External"/><Relationship Id="rId5" Type="http://schemas.openxmlformats.org/officeDocument/2006/relationships/hyperlink" Target="file:///C:\Users\einatg\AppData\Local\AppData\Local\Microsoft\Windows\INetCache\Content.Outlook\ZDJYC9CA\%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605FEC-EBD8-4A12-AF54-B4BB1A9853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1656</Words>
  <Characters>8280</Characters>
  <Application>Microsoft Office Word</Application>
  <DocSecurity>0</DocSecurity>
  <Lines>69</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עינת גולן</dc:creator>
  <cp:lastModifiedBy>יוכי בר-מימון</cp:lastModifiedBy>
  <cp:revision>2</cp:revision>
  <dcterms:created xsi:type="dcterms:W3CDTF">2018-08-16T09:06:00Z</dcterms:created>
  <dcterms:modified xsi:type="dcterms:W3CDTF">2018-08-16T09:06:00Z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notes://MAOR2/Doc/rechesh/recheshdocNew.nsf/0/DF8B1CB56788A2B0C22581520039E215/?OpenDocument</vt:lpwstr>
  </property>
  <property fmtid="{D5CDD505-2E9C-101B-9397-08002B2CF9AE}" pid="3" name="MaorRecipients0">
    <vt:lpwstr>einatgo@mof.gov.il,irisgi@mof.gov.il,einatg@inbal.co.il,doronr@mof.gov.il</vt:lpwstr>
  </property>
</Properties>
</file>